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bidi w:val="0"/>
        <w:spacing w:lineRule="auto" w:line="228"/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  <w:t>Аналитические сведения</w:t>
      </w:r>
    </w:p>
    <w:p>
      <w:pPr>
        <w:pStyle w:val="Normal"/>
        <w:bidi w:val="0"/>
        <w:spacing w:lineRule="auto" w:line="228"/>
        <w:ind w:left="1701" w:right="1701" w:hanging="0"/>
        <w:jc w:val="both"/>
        <w:rPr/>
      </w:pPr>
      <w:r>
        <w:rPr>
          <w:rFonts w:cs="Times New Roman" w:ascii="Times New Roman" w:hAnsi="Times New Roman"/>
          <w:b w:val="false"/>
          <w:spacing w:val="-8"/>
          <w:sz w:val="28"/>
          <w:szCs w:val="28"/>
        </w:rPr>
        <w:t xml:space="preserve">об осуществлении федерального государственного контроля за обеспечением безопасности объектов топливно - энергетического комплекса </w:t>
      </w:r>
      <w:r>
        <w:rPr>
          <w:rFonts w:cs="Times New Roman" w:ascii="Times New Roman" w:hAnsi="Times New Roman"/>
          <w:b w:val="false"/>
          <w:spacing w:val="-8"/>
          <w:sz w:val="28"/>
          <w:szCs w:val="28"/>
        </w:rPr>
        <w:t xml:space="preserve">в </w:t>
      </w:r>
      <w:r>
        <w:rPr>
          <w:rFonts w:cs="Times New Roman" w:ascii="Times New Roman" w:hAnsi="Times New Roman"/>
          <w:b w:val="false"/>
          <w:spacing w:val="-8"/>
          <w:sz w:val="28"/>
          <w:szCs w:val="28"/>
        </w:rPr>
        <w:t xml:space="preserve">первом полугодии </w:t>
      </w:r>
      <w:r>
        <w:rPr>
          <w:rFonts w:cs="Times New Roman" w:ascii="Times New Roman" w:hAnsi="Times New Roman"/>
          <w:b w:val="false"/>
          <w:spacing w:val="-8"/>
          <w:sz w:val="28"/>
          <w:szCs w:val="28"/>
        </w:rPr>
        <w:t>202</w:t>
      </w:r>
      <w:r>
        <w:rPr>
          <w:rFonts w:cs="Times New Roman" w:ascii="Times New Roman" w:hAnsi="Times New Roman"/>
          <w:b w:val="false"/>
          <w:spacing w:val="-8"/>
          <w:sz w:val="28"/>
          <w:szCs w:val="28"/>
        </w:rPr>
        <w:t>5</w:t>
      </w:r>
      <w:r>
        <w:rPr>
          <w:rFonts w:eastAsia="Times New Roman" w:cs="Times New Roman" w:ascii="Times New Roman" w:hAnsi="Times New Roman"/>
          <w:b w:val="false"/>
          <w:color w:val="auto"/>
          <w:spacing w:val="-8"/>
          <w:sz w:val="28"/>
          <w:szCs w:val="28"/>
          <w:lang w:val="ru-RU" w:eastAsia="zh-CN" w:bidi="ar-SA"/>
        </w:rPr>
        <w:t xml:space="preserve"> </w:t>
      </w:r>
      <w:r>
        <w:rPr>
          <w:rFonts w:cs="Times New Roman" w:ascii="Times New Roman" w:hAnsi="Times New Roman"/>
          <w:b w:val="false"/>
          <w:spacing w:val="-8"/>
          <w:sz w:val="28"/>
          <w:szCs w:val="28"/>
        </w:rPr>
        <w:t>год</w:t>
      </w:r>
      <w:r>
        <w:rPr>
          <w:rFonts w:cs="Times New Roman" w:ascii="Times New Roman" w:hAnsi="Times New Roman"/>
          <w:b w:val="false"/>
          <w:spacing w:val="-8"/>
          <w:sz w:val="28"/>
          <w:szCs w:val="28"/>
        </w:rPr>
        <w:t>а</w:t>
      </w:r>
    </w:p>
    <w:p>
      <w:pPr>
        <w:pStyle w:val="Normal"/>
        <w:bidi w:val="0"/>
        <w:spacing w:lineRule="auto" w:line="228"/>
        <w:ind w:left="1134" w:right="1133" w:hanging="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cs="Times New Roman" w:ascii="Times New Roman" w:hAnsi="Times New Roman"/>
          <w:sz w:val="28"/>
          <w:szCs w:val="28"/>
        </w:rPr>
      </w:r>
    </w:p>
    <w:p>
      <w:pPr>
        <w:pStyle w:val="ConsPlusNormal"/>
        <w:widowControl/>
        <w:bidi w:val="0"/>
        <w:spacing w:before="0" w:after="0"/>
        <w:ind w:left="0" w:right="0" w:firstLine="737"/>
        <w:jc w:val="both"/>
        <w:rPr/>
      </w:pPr>
      <w:r>
        <w:rPr>
          <w:rFonts w:cs="Times New Roman" w:ascii="Times New Roman" w:hAnsi="Times New Roman"/>
          <w:sz w:val="28"/>
          <w:szCs w:val="28"/>
        </w:rPr>
        <w:t>В соответствии с положениями Федерального закона от 03.07.2016 № 226-ФЗ «О войсках национальной гвардии Российской Федерации» на войска национальной гвардии возлагается выполнение задачи по осуществлению федерального го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t>сударственного контроля (надзор) за обеспечением безопасности объектов топливно-энергетического комплекса</w:t>
      </w:r>
      <w:r>
        <w:rPr>
          <w:rStyle w:val="Style8"/>
          <w:rStyle w:val="Style8"/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footnoteReference w:id="2"/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t xml:space="preserve">. </w:t>
      </w:r>
    </w:p>
    <w:p>
      <w:pPr>
        <w:pStyle w:val="ConsPlusNormal"/>
        <w:widowControl/>
        <w:bidi w:val="0"/>
        <w:spacing w:before="0" w:after="0"/>
        <w:ind w:left="0" w:right="0" w:firstLine="737"/>
        <w:jc w:val="both"/>
        <w:rPr/>
      </w:pPr>
      <w:r>
        <w:rPr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t>В соответствии с положением, утверждённым приказом Федеральной службы войск национальной гвардии Российской Федерации от 17.07.2018 № 321</w:t>
      </w:r>
      <w:r>
        <w:rPr>
          <w:rFonts w:eastAsia="Times New Roman" w:cs="Times New Roman" w:ascii="Times New Roman" w:hAnsi="Times New Roman"/>
          <w:bCs/>
          <w:color w:val="auto"/>
          <w:sz w:val="28"/>
          <w:szCs w:val="28"/>
          <w:lang w:val="ru-RU" w:eastAsia="zh-CN" w:bidi="ar-SA"/>
        </w:rPr>
        <w:t xml:space="preserve"> «О некоторых вопросах Управления Федеральной службы войск национальной гвардии Российской Федерации по Республике Хакасия»,</w:t>
      </w:r>
      <w:r>
        <w:rPr>
          <w:rFonts w:eastAsia="Times New Roman" w:cs="Times New Roman" w:ascii="Times New Roman" w:hAnsi="Times New Roman"/>
          <w:color w:val="auto"/>
          <w:sz w:val="28"/>
          <w:szCs w:val="28"/>
          <w:lang w:val="ru-RU" w:eastAsia="zh-CN" w:bidi="ar-SA"/>
        </w:rPr>
        <w:t xml:space="preserve"> территориальным органом Федеральной службы войск национальной гвардии Российской Федерации на территории Республики Хакасия является Управление Росгвардии по Республике Хакасия, которое является полномочным органом осуществлять государственный контроль (надзор).</w:t>
      </w:r>
    </w:p>
    <w:p>
      <w:pPr>
        <w:pStyle w:val="Normal"/>
        <w:bidi w:val="0"/>
        <w:spacing w:lineRule="auto" w:line="240" w:before="0" w:after="0"/>
        <w:ind w:left="0" w:right="0" w:firstLine="737"/>
        <w:jc w:val="both"/>
        <w:rPr/>
      </w:pPr>
      <w:r>
        <w:rPr>
          <w:rFonts w:eastAsia="Times New Roman" w:cs="Times New Roman" w:ascii="Times New Roman" w:hAnsi="Times New Roman"/>
          <w:b w:val="false"/>
          <w:color w:val="auto"/>
          <w:kern w:val="0"/>
          <w:sz w:val="28"/>
          <w:szCs w:val="28"/>
          <w:lang w:val="ru-RU" w:eastAsia="zh-CN" w:bidi="ar-SA"/>
        </w:rPr>
        <w:t>Федеральны</w:t>
      </w:r>
      <w:r>
        <w:rPr>
          <w:rFonts w:eastAsia="Times New Roman" w:cs="Times New Roman" w:ascii="Times New Roman" w:hAnsi="Times New Roman"/>
          <w:b w:val="false"/>
          <w:color w:val="auto"/>
          <w:kern w:val="0"/>
          <w:sz w:val="28"/>
          <w:szCs w:val="28"/>
          <w:lang w:val="ru-RU" w:eastAsia="zh-CN" w:bidi="ar-SA"/>
        </w:rPr>
        <w:t>м</w:t>
      </w:r>
      <w:r>
        <w:rPr>
          <w:rFonts w:eastAsia="Times New Roman" w:cs="Times New Roman" w:ascii="Times New Roman" w:hAnsi="Times New Roman"/>
          <w:b w:val="false"/>
          <w:color w:val="auto"/>
          <w:kern w:val="0"/>
          <w:sz w:val="28"/>
          <w:szCs w:val="28"/>
          <w:lang w:val="ru-RU" w:eastAsia="zh-CN" w:bidi="ar-SA"/>
        </w:rPr>
        <w:t xml:space="preserve"> закон</w:t>
      </w:r>
      <w:r>
        <w:rPr>
          <w:rFonts w:eastAsia="Times New Roman" w:cs="Times New Roman" w:ascii="Times New Roman" w:hAnsi="Times New Roman"/>
          <w:b w:val="false"/>
          <w:color w:val="auto"/>
          <w:kern w:val="0"/>
          <w:sz w:val="28"/>
          <w:szCs w:val="28"/>
          <w:lang w:val="ru-RU" w:eastAsia="zh-CN" w:bidi="ar-SA"/>
        </w:rPr>
        <w:t>ом</w:t>
      </w:r>
      <w:r>
        <w:rPr>
          <w:rFonts w:eastAsia="Times New Roman" w:cs="Times New Roman" w:ascii="Times New Roman" w:hAnsi="Times New Roman"/>
          <w:b w:val="false"/>
          <w:color w:val="auto"/>
          <w:kern w:val="0"/>
          <w:sz w:val="28"/>
          <w:szCs w:val="28"/>
          <w:lang w:val="ru-RU" w:eastAsia="zh-CN" w:bidi="ar-SA"/>
        </w:rPr>
        <w:t xml:space="preserve"> от 21.07.2011 № 256-ФЗ «О безопасности объектов топливно-энергетического комплекса» устан</w:t>
      </w:r>
      <w:r>
        <w:rPr>
          <w:rFonts w:eastAsia="Times New Roman" w:cs="Times New Roman" w:ascii="Times New Roman" w:hAnsi="Times New Roman"/>
          <w:b w:val="false"/>
          <w:color w:val="auto"/>
          <w:kern w:val="0"/>
          <w:sz w:val="28"/>
          <w:szCs w:val="28"/>
          <w:lang w:val="ru-RU" w:eastAsia="zh-CN" w:bidi="ar-SA"/>
        </w:rPr>
        <w:t>о</w:t>
      </w:r>
      <w:r>
        <w:rPr>
          <w:rFonts w:eastAsia="Times New Roman" w:cs="Times New Roman" w:ascii="Times New Roman" w:hAnsi="Times New Roman"/>
          <w:b w:val="false"/>
          <w:color w:val="auto"/>
          <w:kern w:val="0"/>
          <w:sz w:val="28"/>
          <w:szCs w:val="28"/>
          <w:lang w:val="ru-RU" w:eastAsia="zh-CN" w:bidi="ar-SA"/>
        </w:rPr>
        <w:t>вл</w:t>
      </w:r>
      <w:r>
        <w:rPr>
          <w:rFonts w:eastAsia="Times New Roman" w:cs="Times New Roman" w:ascii="Times New Roman" w:hAnsi="Times New Roman"/>
          <w:b w:val="false"/>
          <w:color w:val="auto"/>
          <w:kern w:val="0"/>
          <w:sz w:val="28"/>
          <w:szCs w:val="28"/>
          <w:lang w:val="ru-RU" w:eastAsia="zh-CN" w:bidi="ar-SA"/>
        </w:rPr>
        <w:t>ены</w:t>
      </w:r>
      <w:r>
        <w:rPr>
          <w:rFonts w:eastAsia="Times New Roman" w:cs="Times New Roman" w:ascii="Times New Roman" w:hAnsi="Times New Roman"/>
          <w:b w:val="false"/>
          <w:color w:val="auto"/>
          <w:kern w:val="0"/>
          <w:sz w:val="28"/>
          <w:szCs w:val="28"/>
          <w:lang w:val="ru-RU" w:eastAsia="zh-CN" w:bidi="ar-SA"/>
        </w:rPr>
        <w:t xml:space="preserve"> организационные и правовые основы в сфере обеспечения безопасности объектов ТЭК в Российской Федерации.</w:t>
      </w:r>
    </w:p>
    <w:p>
      <w:pPr>
        <w:pStyle w:val="Normal"/>
        <w:widowControl/>
        <w:bidi w:val="0"/>
        <w:spacing w:lineRule="auto" w:line="240" w:before="0" w:after="0"/>
        <w:ind w:left="0" w:right="0" w:firstLine="709"/>
        <w:contextualSpacing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Постановлением Правительства Российской Федерации от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12.05.2023 № 740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утверждены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Правил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а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осуществления федерального государственного контроля (надзора) за обеспечением безопасности объектов топливно-энергетического комплекса, которым присвоена категория опасности.</w:t>
      </w:r>
    </w:p>
    <w:p>
      <w:pPr>
        <w:pStyle w:val="Normal"/>
        <w:bidi w:val="0"/>
        <w:spacing w:lineRule="auto" w:line="240" w:before="0" w:after="0"/>
        <w:ind w:left="0" w:right="0" w:firstLine="709"/>
        <w:contextualSpacing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В настоящее время в Реестр объектов ТЭК Минэнерго России включено                         5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0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объект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ов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ТЭК</w:t>
      </w:r>
      <w:r>
        <w:rPr>
          <w:rStyle w:val="Style8"/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(с присвоенной категорией опасности), расположенных на территории Республики Хакасия. </w:t>
      </w:r>
    </w:p>
    <w:p>
      <w:pPr>
        <w:pStyle w:val="Standard"/>
        <w:widowControl/>
        <w:suppressAutoHyphens w:val="true"/>
        <w:bidi w:val="0"/>
        <w:spacing w:lineRule="auto" w:line="240" w:before="0" w:after="0"/>
        <w:ind w:left="0" w:right="0" w:firstLine="709"/>
        <w:contextualSpacing/>
        <w:jc w:val="both"/>
        <w:rPr/>
      </w:pPr>
      <w:r>
        <w:rPr>
          <w:rFonts w:eastAsia="Times New Roman" w:cs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Планом проведения плановых проверок объектов ТЭК на 202</w:t>
      </w:r>
      <w:r>
        <w:rPr>
          <w:rFonts w:eastAsia="Times New Roman" w:cs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5</w:t>
      </w:r>
      <w:r>
        <w:rPr>
          <w:rFonts w:eastAsia="Times New Roman" w:cs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год, утверждённым </w:t>
      </w:r>
      <w:r>
        <w:rPr>
          <w:rFonts w:eastAsia="Calibri" w:cs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>02.11.2024</w:t>
      </w:r>
      <w:r>
        <w:rPr>
          <w:rFonts w:eastAsia="Times New Roman" w:cs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предусмотрено проведение выездных проверок в отношении 23 объектов ТЭК           14 субъектов ТЭК.</w:t>
      </w:r>
    </w:p>
    <w:p>
      <w:pPr>
        <w:pStyle w:val="Normal"/>
        <w:suppressAutoHyphens w:val="true"/>
        <w:bidi w:val="0"/>
        <w:spacing w:lineRule="auto" w:line="240" w:before="0" w:after="0"/>
        <w:ind w:left="0" w:right="0" w:firstLine="709"/>
        <w:contextualSpacing/>
        <w:jc w:val="both"/>
        <w:rPr/>
      </w:pPr>
      <w:r>
        <w:rPr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В истекшем периоде 2025 года в соответствии с планом проведены плановые проверки 7 объектов ТЭК 4 субъектов ТЭК.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В ходе проведения плановых проверок на             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5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объектах ТЭК выявлено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8 нарушений обязательных требований законодательства, в том числе: </w:t>
      </w:r>
    </w:p>
    <w:p>
      <w:pPr>
        <w:pStyle w:val="Normal"/>
        <w:suppressAutoHyphens w:val="true"/>
        <w:bidi w:val="0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</w:pPr>
      <w:r>
        <w:rPr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>3 - к построению физической защиты;</w:t>
      </w:r>
      <w:r>
        <w:rPr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</w:t>
      </w:r>
    </w:p>
    <w:p>
      <w:pPr>
        <w:pStyle w:val="Normal"/>
        <w:suppressAutoHyphens w:val="true"/>
        <w:bidi w:val="0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</w:pPr>
      <w:r>
        <w:rPr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25 </w:t>
      </w:r>
      <w:r>
        <w:rPr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- к обеспечению инженерно-техническими средствами охраны, из них: </w:t>
      </w:r>
    </w:p>
    <w:p>
      <w:pPr>
        <w:pStyle w:val="Normal"/>
        <w:suppressAutoHyphens w:val="true"/>
        <w:bidi w:val="0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 w:eastAsia="Calibri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</w:pPr>
      <w:r>
        <w:rPr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7 - к инженерно-техническими средствами защиты;         </w:t>
      </w:r>
    </w:p>
    <w:p>
      <w:pPr>
        <w:pStyle w:val="Normal"/>
        <w:suppressAutoHyphens w:val="true"/>
        <w:bidi w:val="0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 w:eastAsia="Calibri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</w:pPr>
      <w:r>
        <w:rPr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>6 - к системам охранной сигнализации;</w:t>
      </w:r>
    </w:p>
    <w:p>
      <w:pPr>
        <w:pStyle w:val="Normal"/>
        <w:suppressAutoHyphens w:val="true"/>
        <w:bidi w:val="0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 w:eastAsia="Calibri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</w:pPr>
      <w:r>
        <w:rPr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>1 - к системе контроля и управления доступом;</w:t>
      </w:r>
    </w:p>
    <w:p>
      <w:pPr>
        <w:pStyle w:val="Normal"/>
        <w:suppressAutoHyphens w:val="true"/>
        <w:bidi w:val="0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</w:pPr>
      <w:r>
        <w:rPr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9 - к системам </w:t>
      </w:r>
      <w:r>
        <w:rPr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>охранной телевизионной</w:t>
      </w:r>
      <w:r>
        <w:rPr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111111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>;</w:t>
      </w:r>
      <w:r>
        <w:rPr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</w:t>
      </w:r>
    </w:p>
    <w:p>
      <w:pPr>
        <w:pStyle w:val="Normal"/>
        <w:suppressAutoHyphens w:val="true"/>
        <w:bidi w:val="0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 w:eastAsia="Calibri" w:cs="Times New Roman"/>
          <w:b w:val="false"/>
          <w:b w:val="false"/>
          <w:bCs w:val="false"/>
          <w:i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</w:pPr>
      <w:r>
        <w:rPr>
          <w:rFonts w:eastAsia="Calibri" w:cs="Times New Roman" w:ascii="Times New Roman" w:hAnsi="Times New Roman"/>
          <w:b w:val="false"/>
          <w:bCs w:val="false"/>
          <w:i w:val="false"/>
          <w:iCs w:val="false"/>
          <w:strike w:val="false"/>
          <w:dstrike w:val="false"/>
          <w:outline w:val="false"/>
          <w:shadow w:val="false"/>
          <w:color w:val="000000"/>
          <w:spacing w:val="-10"/>
          <w:w w:val="101"/>
          <w:kern w:val="2"/>
          <w:sz w:val="28"/>
          <w:szCs w:val="28"/>
          <w:highlight w:val="white"/>
          <w:u w:val="none"/>
          <w:em w:val="none"/>
          <w:lang w:val="ru-RU" w:eastAsia="zh-CN" w:bidi="ar-SA"/>
        </w:rPr>
        <w:t>2 - к системам охранного освещения.</w:t>
      </w:r>
    </w:p>
    <w:p>
      <w:pPr>
        <w:pStyle w:val="Normal"/>
        <w:suppressAutoHyphens w:val="true"/>
        <w:bidi w:val="0"/>
        <w:spacing w:lineRule="auto" w:line="240" w:before="0" w:after="0"/>
        <w:ind w:left="0" w:right="0" w:firstLine="709"/>
        <w:contextualSpacing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По результатам плановых проверок субъектам ТЭК выдано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5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предписаний об устранении выявленных нарушений,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с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оставлено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7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административных протоколов по              ч. 1 ст. 20.30 КоАП РФ «Нарушение требований обеспечения безопасности и антитеррористической защищенности объектов ТЭК»: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5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- в отношении юридических лиц,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2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- должностн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ых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лиц. Судами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2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юридически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х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лиц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а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по 4 административным протоколам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и 1 должностное лицо привлечены к административной ответственности, наложены административные штрафы. Материалы в отношении 1 юридического лица и                              1 должностного лица, находятся на рассмотрении в суде.</w:t>
      </w:r>
    </w:p>
    <w:p>
      <w:pPr>
        <w:pStyle w:val="Normal"/>
        <w:suppressAutoHyphens w:val="true"/>
        <w:bidi w:val="0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В связи с истечением сроков исполнения выданного предписания об устранении выявленных нарушений, проведено 5 внеплановых проверок объектов ТЭК.</w:t>
      </w:r>
    </w:p>
    <w:p>
      <w:pPr>
        <w:pStyle w:val="Normal"/>
        <w:suppressAutoHyphens w:val="true"/>
        <w:bidi w:val="0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По результатам проведения внеплановых проверок 3 объектов ТЭК юридическим лицам выдано 3 повторных предписания. </w:t>
      </w:r>
    </w:p>
    <w:p>
      <w:pPr>
        <w:pStyle w:val="Normal"/>
        <w:suppressAutoHyphens w:val="true"/>
        <w:bidi w:val="0"/>
        <w:spacing w:lineRule="auto" w:line="240" w:before="0" w:after="0"/>
        <w:ind w:left="0" w:right="0" w:firstLine="709"/>
        <w:contextualSpacing/>
        <w:jc w:val="both"/>
        <w:rPr/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За невыполнение в срок законного предписания органа осуществляющего государственный контроль (надзор) в отношении юридических лиц и должностных лиц составлено 8 административных протоколов по ч. 36 и ч. 37 ст. 19.5 КоАП РФ.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Судами и 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Управлени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ем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Росгвардии по Республике Хакасия юридически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е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и  должностн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ые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лиц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>а</w:t>
      </w: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  <w:t xml:space="preserve"> привлечены к административной ответственности, наложены административные штрафы.</w:t>
      </w:r>
    </w:p>
    <w:p>
      <w:pPr>
        <w:pStyle w:val="Normal"/>
        <w:widowControl w:val="false"/>
        <w:suppressAutoHyphens w:val="true"/>
        <w:kinsoku w:val="true"/>
        <w:overflowPunct w:val="true"/>
        <w:autoSpaceDE w:val="false"/>
        <w:bidi w:val="0"/>
        <w:spacing w:lineRule="auto" w:line="240" w:before="0" w:after="0"/>
        <w:ind w:left="0" w:right="0" w:firstLine="709"/>
        <w:contextualSpacing/>
        <w:jc w:val="both"/>
        <w:rPr>
          <w:rFonts w:ascii="Times New Roman" w:hAnsi="Times New Roman" w:eastAsia="Times New Roman" w:cs="Times New Roman"/>
          <w:b w:val="false"/>
          <w:b w:val="false"/>
          <w:bCs w:val="false"/>
          <w:i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</w:pPr>
      <w:r>
        <w:rPr>
          <w:rFonts w:eastAsia="Times New Roman" w:cs="Times New Roman" w:ascii="Times New Roman" w:hAnsi="Times New Roman"/>
          <w:b w:val="false"/>
          <w:bCs w:val="false"/>
          <w:i w:val="false"/>
          <w:iCs/>
          <w:strike w:val="false"/>
          <w:dstrike w:val="false"/>
          <w:outline w:val="false"/>
          <w:shadow w:val="false"/>
          <w:color w:val="000000"/>
          <w:spacing w:val="-10"/>
          <w:w w:val="101"/>
          <w:kern w:val="0"/>
          <w:sz w:val="28"/>
          <w:szCs w:val="28"/>
          <w:highlight w:val="white"/>
          <w:u w:val="none"/>
          <w:em w:val="none"/>
          <w:lang w:val="ru-RU" w:eastAsia="zh-CN" w:bidi="ar-SA"/>
        </w:rPr>
      </w:r>
    </w:p>
    <w:p>
      <w:pPr>
        <w:pStyle w:val="Normal"/>
        <w:widowControl/>
        <w:suppressAutoHyphens w:val="true"/>
        <w:bidi w:val="0"/>
        <w:ind w:left="0" w:right="0" w:hanging="0"/>
        <w:jc w:val="both"/>
        <w:rPr/>
      </w:pPr>
      <w:r>
        <w:rPr>
          <w:rFonts w:eastAsia="Calibri"/>
          <w:b/>
          <w:bCs/>
          <w:color w:val="111111"/>
          <w:sz w:val="28"/>
          <w:szCs w:val="28"/>
          <w:u w:val="none"/>
          <w:lang w:eastAsia="zh-CN"/>
        </w:rPr>
        <w:t>О</w:t>
      </w:r>
      <w:r>
        <w:rPr>
          <w:rFonts w:eastAsia="Calibri" w:cs="Times New Roman"/>
          <w:b/>
          <w:bCs/>
          <w:color w:val="111111"/>
          <w:sz w:val="28"/>
          <w:szCs w:val="28"/>
          <w:u w:val="none"/>
          <w:lang w:val="ru-RU" w:eastAsia="zh-CN" w:bidi="ar-SA"/>
        </w:rPr>
        <w:t>тделение государственного контрол</w:t>
      </w:r>
      <w:r>
        <w:rPr>
          <w:rFonts w:eastAsia="Calibri" w:cs="Times New Roman"/>
          <w:b/>
          <w:bCs/>
          <w:color w:val="111111"/>
          <w:sz w:val="28"/>
          <w:szCs w:val="28"/>
          <w:u w:val="none"/>
          <w:lang w:val="ru-RU" w:eastAsia="zh-CN" w:bidi="ar-SA"/>
        </w:rPr>
        <w:t>я</w:t>
      </w:r>
    </w:p>
    <w:p>
      <w:pPr>
        <w:pStyle w:val="Normal"/>
        <w:widowControl/>
        <w:suppressAutoHyphens w:val="true"/>
        <w:bidi w:val="0"/>
        <w:ind w:left="0" w:right="0" w:hanging="0"/>
        <w:jc w:val="both"/>
        <w:rPr>
          <w:rFonts w:ascii="PT Astra Serif" w:hAnsi="PT Astra Serif" w:eastAsia="Calibri"/>
          <w:b/>
          <w:b/>
          <w:bCs/>
          <w:color w:val="111111"/>
          <w:sz w:val="28"/>
          <w:szCs w:val="28"/>
          <w:u w:val="none"/>
          <w:lang w:eastAsia="zh-CN"/>
        </w:rPr>
      </w:pPr>
      <w:r>
        <w:rPr>
          <w:rFonts w:eastAsia="Calibri"/>
          <w:b/>
          <w:bCs/>
          <w:color w:val="111111"/>
          <w:sz w:val="28"/>
          <w:szCs w:val="28"/>
          <w:u w:val="none"/>
          <w:lang w:eastAsia="zh-CN"/>
        </w:rPr>
        <w:t>Управления Росгвардии по Республике Хакасия</w:t>
      </w:r>
    </w:p>
    <w:p>
      <w:pPr>
        <w:pStyle w:val="Normal"/>
        <w:bidi w:val="0"/>
        <w:spacing w:lineRule="auto" w:line="240"/>
        <w:ind w:left="283" w:right="0" w:hanging="283"/>
        <w:jc w:val="center"/>
        <w:rPr>
          <w:rFonts w:ascii="PT Astra Serif" w:hAnsi="PT Astra Serif" w:eastAsia="Calibri"/>
          <w:b/>
          <w:b/>
          <w:bCs/>
          <w:color w:val="111111"/>
          <w:sz w:val="28"/>
          <w:szCs w:val="28"/>
          <w:u w:val="single"/>
          <w:lang w:eastAsia="zh-CN"/>
        </w:rPr>
      </w:pPr>
      <w:r>
        <w:rPr>
          <w:rFonts w:eastAsia="Calibri"/>
          <w:b/>
          <w:bCs/>
          <w:color w:val="111111"/>
          <w:sz w:val="28"/>
          <w:szCs w:val="28"/>
          <w:u w:val="single"/>
          <w:lang w:eastAsia="zh-CN"/>
        </w:rPr>
      </w:r>
    </w:p>
    <w:p>
      <w:pPr>
        <w:pStyle w:val="Normal"/>
        <w:bidi w:val="0"/>
        <w:spacing w:lineRule="auto" w:line="240"/>
        <w:ind w:left="283" w:right="0" w:hanging="283"/>
        <w:jc w:val="center"/>
        <w:rPr>
          <w:rFonts w:ascii="PT Astra Serif" w:hAnsi="PT Astra Serif" w:eastAsia="Calibri"/>
          <w:b/>
          <w:b/>
          <w:bCs/>
          <w:color w:val="111111"/>
          <w:sz w:val="28"/>
          <w:szCs w:val="28"/>
          <w:u w:val="single"/>
          <w:lang w:eastAsia="zh-CN"/>
        </w:rPr>
      </w:pPr>
      <w:r>
        <w:rPr>
          <w:rFonts w:eastAsia="Calibri"/>
          <w:b/>
          <w:bCs/>
          <w:color w:val="111111"/>
          <w:sz w:val="28"/>
          <w:szCs w:val="28"/>
          <w:u w:val="single"/>
          <w:lang w:eastAsia="zh-CN"/>
        </w:rPr>
      </w:r>
    </w:p>
    <w:p>
      <w:pPr>
        <w:pStyle w:val="Normal"/>
        <w:bidi w:val="0"/>
        <w:spacing w:lineRule="auto" w:line="240"/>
        <w:ind w:left="283" w:right="0" w:hanging="283"/>
        <w:jc w:val="center"/>
        <w:rPr>
          <w:rFonts w:ascii="PT Astra Serif" w:hAnsi="PT Astra Serif"/>
          <w:b w:val="false"/>
          <w:b w:val="false"/>
          <w:bCs w:val="false"/>
          <w:color w:val="000000"/>
          <w:sz w:val="28"/>
          <w:szCs w:val="20"/>
          <w:u w:val="single"/>
        </w:rPr>
      </w:pPr>
      <w:r>
        <w:rPr>
          <w:b w:val="false"/>
          <w:bCs w:val="false"/>
          <w:color w:val="000000"/>
          <w:sz w:val="28"/>
          <w:szCs w:val="20"/>
          <w:u w:val="single"/>
        </w:rPr>
      </w:r>
    </w:p>
    <w:sectPr>
      <w:headerReference w:type="default" r:id="rId2"/>
      <w:footerReference w:type="default" r:id="rId3"/>
      <w:footnotePr>
        <w:numFmt w:val="decimal"/>
      </w:footnotePr>
      <w:type w:val="nextPage"/>
      <w:pgSz w:w="11906" w:h="16838"/>
      <w:pgMar w:left="1134" w:right="567" w:header="1309" w:top="1473" w:footer="556" w:bottom="1123" w:gutter="0"/>
      <w:pgNumType w:fmt="decimal"/>
      <w:formProt w:val="false"/>
      <w:textDirection w:val="lrTb"/>
      <w:docGrid w:type="default" w:linePitch="600" w:charSpace="2457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PT Astra Serif">
    <w:charset w:val="01"/>
    <w:family w:val="roman"/>
    <w:pitch w:val="variable"/>
  </w:font>
  <w:font w:name="OpenSymbol">
    <w:altName w:val="Arial Unicode MS"/>
    <w:charset w:val="02"/>
    <w:family w:val="auto"/>
    <w:pitch w:val="default"/>
  </w:font>
  <w:font w:name="Liberation Mono">
    <w:altName w:val="Courier New"/>
    <w:charset w:val="01"/>
    <w:family w:val="modern"/>
    <w:pitch w:val="fixed"/>
  </w:font>
  <w:font w:name="Times New Roman">
    <w:charset w:val="01"/>
    <w:family w:val="roman"/>
    <w:pitch w:val="variable"/>
  </w:font>
  <w:font w:name="Arial">
    <w:charset w:val="01"/>
    <w:family w:val="swiss"/>
    <w:pitch w:val="variable"/>
  </w:font>
  <w:font w:name="Times New Roman">
    <w:charset w:val="01"/>
    <w:family w:val="roman"/>
    <w:pitch w:val="default"/>
  </w:font>
  <w:font w:name="PT Astra Serif">
    <w:charset w:val="01"/>
    <w:family w:val="roman"/>
    <w:pitch w:val="default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57"/>
      <w:bidi w:val="0"/>
      <w:jc w:val="center"/>
      <w:rPr/>
    </w:pPr>
    <w:r>
      <w:rPr/>
    </w:r>
  </w:p>
</w:ftr>
</file>

<file path=word/footnotes.xml><?xml version="1.0" encoding="utf-8"?>
<w:footnotes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footnote w:id="0" w:type="separator">
    <w:p>
      <w:pPr>
        <w:rPr>
          <w:sz w:val="12"/>
        </w:rPr>
      </w:pPr>
      <w:r/>
    </w:p>
  </w:footnote>
  <w:footnote w:id="1" w:type="continuationSeparator">
    <w:p>
      <w:pPr>
        <w:rPr>
          <w:sz w:val="12"/>
        </w:rPr>
      </w:pPr>
      <w:r/>
    </w:p>
  </w:footnote>
  <w:footnote w:id="2">
    <w:p>
      <w:pPr>
        <w:pStyle w:val="Style53"/>
        <w:bidi w:val="0"/>
        <w:jc w:val="left"/>
        <w:rPr>
          <w:sz w:val="20"/>
          <w:szCs w:val="20"/>
        </w:rPr>
      </w:pPr>
      <w:r>
        <w:rPr>
          <w:rStyle w:val="Style7"/>
        </w:rPr>
        <w:footnoteRef/>
      </w:r>
      <w:r>
        <w:rPr>
          <w:sz w:val="20"/>
          <w:szCs w:val="20"/>
        </w:rPr>
        <w:t xml:space="preserve"> </w:t>
      </w:r>
      <w:r>
        <w:rPr>
          <w:sz w:val="20"/>
          <w:szCs w:val="20"/>
        </w:rPr>
        <w:t>Далее - «ТЭК».</w:t>
      </w:r>
    </w:p>
  </w:footnote>
</w:footnotes>
</file>

<file path=word/header1.xml><?xml version="1.0" encoding="utf-8"?>
<w:hd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p>
    <w:pPr>
      <w:pStyle w:val="Style54"/>
      <w:bidi w:val="0"/>
      <w:jc w:val="center"/>
      <w:rPr/>
    </w:pPr>
    <w:r>
      <w:rPr/>
    </w:r>
  </w:p>
</w:hdr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2">
    <w:lvl w:ilvl="0">
      <w:start w:val="1"/>
      <w:numFmt w:val="decimal"/>
      <w:suff w:val="space"/>
      <w:lvlText w:val="%1."/>
      <w:lvlJc w:val="left"/>
      <w:pPr>
        <w:tabs>
          <w:tab w:val="num" w:pos="0"/>
        </w:tabs>
        <w:ind w:left="0" w:firstLine="709"/>
      </w:pPr>
      <w:rPr/>
    </w:lvl>
    <w:lvl w:ilvl="1">
      <w:start w:val="1"/>
      <w:numFmt w:val="decimal"/>
      <w:suff w:val="space"/>
      <w:lvlText w:val="%1.%2."/>
      <w:lvlJc w:val="left"/>
      <w:pPr>
        <w:tabs>
          <w:tab w:val="num" w:pos="0"/>
        </w:tabs>
        <w:ind w:left="0" w:firstLine="709"/>
      </w:pPr>
      <w:rPr/>
    </w:lvl>
    <w:lvl w:ilvl="2">
      <w:start w:val="1"/>
      <w:numFmt w:val="decimal"/>
      <w:suff w:val="space"/>
      <w:lvlText w:val="%1.%2.%3."/>
      <w:lvlJc w:val="left"/>
      <w:pPr>
        <w:tabs>
          <w:tab w:val="num" w:pos="0"/>
        </w:tabs>
        <w:ind w:left="0" w:firstLine="709"/>
      </w:pPr>
      <w:rPr/>
    </w:lvl>
    <w:lvl w:ilvl="3">
      <w:start w:val="1"/>
      <w:numFmt w:val="decimal"/>
      <w:suff w:val="space"/>
      <w:lvlText w:val="%1.%2.%3.%4."/>
      <w:lvlJc w:val="left"/>
      <w:pPr>
        <w:tabs>
          <w:tab w:val="num" w:pos="0"/>
        </w:tabs>
        <w:ind w:left="0" w:firstLine="709"/>
      </w:pPr>
      <w:rPr/>
    </w:lvl>
    <w:lvl w:ilvl="4">
      <w:start w:val="1"/>
      <w:numFmt w:val="decimal"/>
      <w:suff w:val="space"/>
      <w:lvlText w:val="%1.%2.%3.%4.%5."/>
      <w:lvlJc w:val="left"/>
      <w:pPr>
        <w:tabs>
          <w:tab w:val="num" w:pos="0"/>
        </w:tabs>
        <w:ind w:left="0" w:firstLine="709"/>
      </w:pPr>
      <w:rPr/>
    </w:lvl>
    <w:lvl w:ilvl="5">
      <w:start w:val="1"/>
      <w:numFmt w:val="decimal"/>
      <w:suff w:val="space"/>
      <w:lvlText w:val="%1.%2.%3.%4.%5.%6."/>
      <w:lvlJc w:val="left"/>
      <w:pPr>
        <w:tabs>
          <w:tab w:val="num" w:pos="0"/>
        </w:tabs>
        <w:ind w:left="0" w:firstLine="709"/>
      </w:pPr>
      <w:rPr/>
    </w:lvl>
    <w:lvl w:ilvl="6">
      <w:start w:val="1"/>
      <w:numFmt w:val="decimal"/>
      <w:suff w:val="space"/>
      <w:lvlText w:val="%1.%2.%3.%4.%5.%6.%7."/>
      <w:lvlJc w:val="left"/>
      <w:pPr>
        <w:tabs>
          <w:tab w:val="num" w:pos="0"/>
        </w:tabs>
        <w:ind w:left="0" w:firstLine="709"/>
      </w:pPr>
      <w:rPr/>
    </w:lvl>
    <w:lvl w:ilvl="7">
      <w:start w:val="1"/>
      <w:numFmt w:val="decimal"/>
      <w:suff w:val="space"/>
      <w:lvlText w:val="%1.%2.%3.%4.%5.%6.%7.%8."/>
      <w:lvlJc w:val="left"/>
      <w:pPr>
        <w:tabs>
          <w:tab w:val="num" w:pos="0"/>
        </w:tabs>
        <w:ind w:left="0" w:firstLine="709"/>
      </w:pPr>
      <w:rPr/>
    </w:lvl>
    <w:lvl w:ilvl="8">
      <w:start w:val="1"/>
      <w:numFmt w:val="decimal"/>
      <w:suff w:val="space"/>
      <w:lvlText w:val="%1.%2.%3.%4.%5.%6.%7.%8.%9."/>
      <w:lvlJc w:val="left"/>
      <w:pPr>
        <w:tabs>
          <w:tab w:val="num" w:pos="0"/>
        </w:tabs>
        <w:ind w:left="0" w:firstLine="709"/>
      </w:pPr>
      <w:rPr/>
    </w:lvl>
  </w:abstractNum>
  <w:abstractNum w:abstractNumId="3">
    <w:lvl w:ilvl="0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1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2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3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4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5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6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7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  <w:lvl w:ilvl="8">
      <w:start w:val="1"/>
      <w:numFmt w:val="bullet"/>
      <w:suff w:val="space"/>
      <w:lvlText w:val="–"/>
      <w:lvlJc w:val="left"/>
      <w:pPr>
        <w:tabs>
          <w:tab w:val="num" w:pos="0"/>
        </w:tabs>
        <w:ind w:left="0" w:firstLine="709"/>
      </w:pPr>
      <w:rPr>
        <w:rFonts w:ascii="PT Astra Serif" w:hAnsi="PT Astra Serif" w:cs="PT Astra Serif" w:hint="default"/>
      </w:rPr>
    </w:lvl>
  </w:abstractNum>
  <w:num w:numId="1">
    <w:abstractNumId w:val="1"/>
  </w:num>
  <w:num w:numId="2">
    <w:abstractNumId w:val="2"/>
  </w:num>
  <w:num w:numId="3">
    <w:abstractNumId w:val="3"/>
  </w:num>
</w:numbering>
</file>

<file path=word/settings.xml><?xml version="1.0" encoding="utf-8"?>
<w:settings xmlns:w="http://schemas.openxmlformats.org/wordprocessingml/2006/main">
  <w:zoom w:percent="100"/>
  <w:defaultTabStop w:val="709"/>
  <w:autoHyphenation w:val="true"/>
  <w:footnotePr>
    <w:numFmt w:val="decimal"/>
    <w:footnote w:id="0"/>
    <w:footnote w:id="1"/>
  </w:footnotePr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Source Han Sans CN Regular" w:cs="Lohit Devanagari"/>
        <w:kern w:val="2"/>
        <w:sz w:val="24"/>
        <w:szCs w:val="24"/>
        <w:lang w:val="ru-RU" w:eastAsia="ru-RU" w:bidi="ru-RU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  <w:spacing w:lineRule="auto" w:line="240"/>
      <w:jc w:val="center"/>
    </w:pPr>
    <w:rPr>
      <w:rFonts w:ascii="PT Astra Serif" w:hAnsi="PT Astra Serif" w:eastAsia="Source Han Sans CN Regular" w:cs="Lohit Devanagari"/>
      <w:color w:val="auto"/>
      <w:kern w:val="2"/>
      <w:sz w:val="28"/>
      <w:szCs w:val="24"/>
      <w:lang w:val="ru-RU" w:eastAsia="ru-RU" w:bidi="ru-RU"/>
    </w:rPr>
  </w:style>
  <w:style w:type="paragraph" w:styleId="1">
    <w:name w:val="Heading 1"/>
    <w:basedOn w:val="Style31"/>
    <w:next w:val="Style39"/>
    <w:qFormat/>
    <w:pPr>
      <w:numPr>
        <w:ilvl w:val="0"/>
        <w:numId w:val="0"/>
      </w:numPr>
      <w:spacing w:before="0" w:after="0"/>
    </w:pPr>
    <w:rPr/>
  </w:style>
  <w:style w:type="paragraph" w:styleId="2">
    <w:name w:val="Heading 2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3">
    <w:name w:val="Heading 3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4">
    <w:name w:val="Heading 4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5">
    <w:name w:val="Heading 5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6">
    <w:name w:val="Heading 6"/>
    <w:basedOn w:val="Style31"/>
    <w:next w:val="Style32"/>
    <w:qFormat/>
    <w:pPr>
      <w:numPr>
        <w:ilvl w:val="0"/>
        <w:numId w:val="0"/>
      </w:numPr>
    </w:pPr>
    <w:rPr/>
  </w:style>
  <w:style w:type="paragraph" w:styleId="7">
    <w:name w:val="Heading 7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8">
    <w:name w:val="Heading 8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9">
    <w:name w:val="Heading 9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character" w:styleId="Style5">
    <w:name w:val="Символ нумерации"/>
    <w:qFormat/>
    <w:rPr/>
  </w:style>
  <w:style w:type="character" w:styleId="Style6">
    <w:name w:val="Маркеры списка"/>
    <w:qFormat/>
    <w:rPr>
      <w:rFonts w:ascii="OpenSymbol" w:hAnsi="OpenSymbol" w:eastAsia="OpenSymbol" w:cs="OpenSymbol"/>
    </w:rPr>
  </w:style>
  <w:style w:type="character" w:styleId="Style7">
    <w:name w:val="Символ сноски"/>
    <w:qFormat/>
    <w:rPr/>
  </w:style>
  <w:style w:type="character" w:styleId="Style8">
    <w:name w:val="Привязка сноски"/>
    <w:rPr>
      <w:vertAlign w:val="superscript"/>
    </w:rPr>
  </w:style>
  <w:style w:type="character" w:styleId="Style9">
    <w:name w:val="Номер страницы"/>
    <w:rPr/>
  </w:style>
  <w:style w:type="character" w:styleId="Style10">
    <w:name w:val="Символы названия"/>
    <w:qFormat/>
    <w:rPr/>
  </w:style>
  <w:style w:type="character" w:styleId="Style11">
    <w:name w:val="Буквица"/>
    <w:qFormat/>
    <w:rPr/>
  </w:style>
  <w:style w:type="character" w:styleId="Style12">
    <w:name w:val="Интернет-ссылка"/>
    <w:rPr>
      <w:color w:val="000080"/>
      <w:u w:val="single"/>
      <w:lang w:val="zxx" w:eastAsia="zxx" w:bidi="zxx"/>
    </w:rPr>
  </w:style>
  <w:style w:type="character" w:styleId="Style13">
    <w:name w:val="Посещённая гиперссылка"/>
    <w:rPr>
      <w:color w:val="800000"/>
      <w:u w:val="single"/>
      <w:lang w:val="zxx" w:eastAsia="zxx" w:bidi="zxx"/>
    </w:rPr>
  </w:style>
  <w:style w:type="character" w:styleId="Style14">
    <w:name w:val="Заполнитель"/>
    <w:qFormat/>
    <w:rPr>
      <w:smallCaps/>
      <w:color w:val="008080"/>
      <w:u w:val="dotted"/>
    </w:rPr>
  </w:style>
  <w:style w:type="character" w:styleId="Style15">
    <w:name w:val="Ссылка указателя"/>
    <w:qFormat/>
    <w:rPr/>
  </w:style>
  <w:style w:type="character" w:styleId="Style16">
    <w:name w:val="Символ концевой сноски"/>
    <w:qFormat/>
    <w:rPr/>
  </w:style>
  <w:style w:type="character" w:styleId="Style17">
    <w:name w:val="Нумерация строк"/>
    <w:qFormat/>
    <w:rPr/>
  </w:style>
  <w:style w:type="character" w:styleId="Style18">
    <w:name w:val="Основной элемент указателя"/>
    <w:qFormat/>
    <w:rPr>
      <w:b/>
      <w:bCs/>
    </w:rPr>
  </w:style>
  <w:style w:type="character" w:styleId="Style19">
    <w:name w:val="Привязка концевой сноски"/>
    <w:rPr>
      <w:vertAlign w:val="superscript"/>
    </w:rPr>
  </w:style>
  <w:style w:type="character" w:styleId="Style20">
    <w:name w:val="Фуригана"/>
    <w:qFormat/>
    <w:rPr>
      <w:sz w:val="12"/>
      <w:szCs w:val="12"/>
      <w:u w:val="none"/>
      <w:em w:val="none"/>
    </w:rPr>
  </w:style>
  <w:style w:type="character" w:styleId="Style21">
    <w:name w:val="Вертикальное направление символов"/>
    <w:qFormat/>
    <w:rPr>
      <w:eastAsianLayout w:vert="true"/>
    </w:rPr>
  </w:style>
  <w:style w:type="character" w:styleId="Style22">
    <w:name w:val="Выделение"/>
    <w:qFormat/>
    <w:rPr>
      <w:i/>
      <w:iCs/>
    </w:rPr>
  </w:style>
  <w:style w:type="character" w:styleId="Style23">
    <w:name w:val="Цитата"/>
    <w:qFormat/>
    <w:rPr>
      <w:i/>
      <w:iCs/>
    </w:rPr>
  </w:style>
  <w:style w:type="character" w:styleId="Style24">
    <w:name w:val="Выделение жирным"/>
    <w:qFormat/>
    <w:rPr>
      <w:b/>
      <w:bCs/>
    </w:rPr>
  </w:style>
  <w:style w:type="character" w:styleId="Style25">
    <w:name w:val="Исходный текст"/>
    <w:qFormat/>
    <w:rPr>
      <w:rFonts w:ascii="Liberation Mono" w:hAnsi="Liberation Mono" w:eastAsia="Liberation Mono" w:cs="Liberation Mono"/>
    </w:rPr>
  </w:style>
  <w:style w:type="character" w:styleId="Style26">
    <w:name w:val="Пример"/>
    <w:qFormat/>
    <w:rPr>
      <w:rFonts w:ascii="Liberation Mono" w:hAnsi="Liberation Mono" w:eastAsia="Liberation Mono" w:cs="Liberation Mono"/>
    </w:rPr>
  </w:style>
  <w:style w:type="character" w:styleId="Style27">
    <w:name w:val="Ввод пользователя"/>
    <w:qFormat/>
    <w:rPr>
      <w:rFonts w:ascii="Liberation Mono" w:hAnsi="Liberation Mono" w:eastAsia="Liberation Mono" w:cs="Liberation Mono"/>
    </w:rPr>
  </w:style>
  <w:style w:type="character" w:styleId="Style28">
    <w:name w:val="Переменная"/>
    <w:qFormat/>
    <w:rPr>
      <w:i/>
      <w:iCs/>
    </w:rPr>
  </w:style>
  <w:style w:type="character" w:styleId="Style29">
    <w:name w:val="Определение"/>
    <w:qFormat/>
    <w:rPr/>
  </w:style>
  <w:style w:type="character" w:styleId="Style30">
    <w:name w:val="Непропорциональный текст"/>
    <w:qFormat/>
    <w:rPr>
      <w:rFonts w:ascii="Liberation Mono" w:hAnsi="Liberation Mono" w:eastAsia="Liberation Mono" w:cs="Liberation Mono"/>
    </w:rPr>
  </w:style>
  <w:style w:type="character" w:styleId="0pt">
    <w:name w:val="Основной текст + Интервал 0 pt"/>
    <w:qFormat/>
    <w:rPr>
      <w:rFonts w:ascii="Times New Roman" w:hAnsi="Times New Roman" w:cs="Times New Roman"/>
      <w:spacing w:val="0"/>
      <w:sz w:val="26"/>
      <w:szCs w:val="26"/>
      <w:u w:val="none"/>
    </w:rPr>
  </w:style>
  <w:style w:type="paragraph" w:styleId="Style31">
    <w:name w:val="Заголовок"/>
    <w:basedOn w:val="Normal"/>
    <w:next w:val="Style39"/>
    <w:qFormat/>
    <w:pPr>
      <w:keepNext w:val="false"/>
      <w:spacing w:before="0" w:after="0"/>
      <w:jc w:val="center"/>
    </w:pPr>
    <w:rPr>
      <w:b/>
    </w:rPr>
  </w:style>
  <w:style w:type="paragraph" w:styleId="Style32">
    <w:name w:val="Body Text"/>
    <w:basedOn w:val="Normal"/>
    <w:pPr>
      <w:jc w:val="both"/>
    </w:pPr>
    <w:rPr/>
  </w:style>
  <w:style w:type="paragraph" w:styleId="Style33">
    <w:name w:val="List"/>
    <w:basedOn w:val="Style32"/>
    <w:pPr/>
    <w:rPr>
      <w:rFonts w:cs="Lohit Devanagari"/>
    </w:rPr>
  </w:style>
  <w:style w:type="paragraph" w:styleId="Style34">
    <w:name w:val="Caption"/>
    <w:basedOn w:val="Normal"/>
    <w:qFormat/>
    <w:pPr>
      <w:spacing w:before="0" w:after="0"/>
    </w:pPr>
    <w:rPr>
      <w:rFonts w:cs="Lohit Devanagari"/>
      <w:i w:val="false"/>
      <w:iCs w:val="false"/>
      <w:sz w:val="28"/>
      <w:szCs w:val="24"/>
    </w:rPr>
  </w:style>
  <w:style w:type="paragraph" w:styleId="Style35">
    <w:name w:val="Указатель"/>
    <w:basedOn w:val="Normal"/>
    <w:qFormat/>
    <w:pPr>
      <w:jc w:val="left"/>
    </w:pPr>
    <w:rPr>
      <w:rFonts w:cs="Lohit Devanagari"/>
    </w:rPr>
  </w:style>
  <w:style w:type="paragraph" w:styleId="Style36">
    <w:name w:val="Блочная цитата"/>
    <w:basedOn w:val="Normal"/>
    <w:qFormat/>
    <w:pPr>
      <w:spacing w:before="0" w:after="0"/>
      <w:ind w:left="0" w:right="0" w:hanging="0"/>
    </w:pPr>
    <w:rPr/>
  </w:style>
  <w:style w:type="paragraph" w:styleId="Style37">
    <w:name w:val="Title"/>
    <w:basedOn w:val="Normal"/>
    <w:next w:val="Style39"/>
    <w:qFormat/>
    <w:pPr>
      <w:spacing w:before="0" w:after="170"/>
    </w:pPr>
    <w:rPr>
      <w:b/>
    </w:rPr>
  </w:style>
  <w:style w:type="paragraph" w:styleId="Style38">
    <w:name w:val="Subtitle"/>
    <w:basedOn w:val="Normal"/>
    <w:next w:val="Style39"/>
    <w:qFormat/>
    <w:pPr>
      <w:spacing w:before="0" w:after="0"/>
      <w:ind w:left="709" w:right="0" w:hanging="0"/>
      <w:jc w:val="both"/>
    </w:pPr>
    <w:rPr>
      <w:b/>
    </w:rPr>
  </w:style>
  <w:style w:type="paragraph" w:styleId="Style39">
    <w:name w:val="Body Text First Indent"/>
    <w:basedOn w:val="Normal"/>
    <w:pPr>
      <w:ind w:left="0" w:right="0" w:firstLine="709"/>
      <w:jc w:val="both"/>
    </w:pPr>
    <w:rPr/>
  </w:style>
  <w:style w:type="paragraph" w:styleId="Style40">
    <w:name w:val="Обратный отступ"/>
    <w:basedOn w:val="Style32"/>
    <w:qFormat/>
    <w:pPr>
      <w:tabs>
        <w:tab w:val="clear" w:pos="709"/>
        <w:tab w:val="left" w:pos="0" w:leader="none"/>
      </w:tabs>
      <w:ind w:left="0" w:right="0" w:hanging="0"/>
    </w:pPr>
    <w:rPr/>
  </w:style>
  <w:style w:type="paragraph" w:styleId="Style41">
    <w:name w:val="Body Text Indent"/>
    <w:basedOn w:val="Style32"/>
    <w:pPr>
      <w:ind w:left="0" w:right="0" w:hanging="0"/>
    </w:pPr>
    <w:rPr/>
  </w:style>
  <w:style w:type="paragraph" w:styleId="Style42">
    <w:name w:val="Salutation"/>
    <w:basedOn w:val="Normal"/>
    <w:pPr/>
    <w:rPr/>
  </w:style>
  <w:style w:type="paragraph" w:styleId="Style43">
    <w:name w:val="Signature"/>
    <w:basedOn w:val="Normal"/>
    <w:pPr/>
    <w:rPr/>
  </w:style>
  <w:style w:type="paragraph" w:styleId="Style44">
    <w:name w:val="Отступы"/>
    <w:basedOn w:val="Style32"/>
    <w:qFormat/>
    <w:pPr>
      <w:tabs>
        <w:tab w:val="clear" w:pos="709"/>
        <w:tab w:val="left" w:pos="0" w:leader="none"/>
      </w:tabs>
      <w:ind w:left="0" w:right="0" w:hanging="0"/>
    </w:pPr>
    <w:rPr/>
  </w:style>
  <w:style w:type="paragraph" w:styleId="Style45">
    <w:name w:val="Annotation Text"/>
    <w:basedOn w:val="Style32"/>
    <w:pPr>
      <w:ind w:left="0" w:right="0" w:hanging="0"/>
    </w:pPr>
    <w:rPr/>
  </w:style>
  <w:style w:type="paragraph" w:styleId="10">
    <w:name w:val="Заголовок 10"/>
    <w:basedOn w:val="Style31"/>
    <w:next w:val="Style32"/>
    <w:qFormat/>
    <w:pPr>
      <w:numPr>
        <w:ilvl w:val="0"/>
        <w:numId w:val="0"/>
      </w:numPr>
      <w:spacing w:before="0" w:after="0"/>
    </w:pPr>
    <w:rPr/>
  </w:style>
  <w:style w:type="paragraph" w:styleId="11">
    <w:name w:val="Начало нумерованного списка 1"/>
    <w:basedOn w:val="Style33"/>
    <w:next w:val="12"/>
    <w:qFormat/>
    <w:pPr>
      <w:spacing w:before="0" w:after="0"/>
      <w:ind w:left="0" w:right="0" w:hanging="0"/>
    </w:pPr>
    <w:rPr/>
  </w:style>
  <w:style w:type="paragraph" w:styleId="12">
    <w:name w:val="List 3"/>
    <w:basedOn w:val="Style33"/>
    <w:pPr>
      <w:numPr>
        <w:ilvl w:val="0"/>
        <w:numId w:val="2"/>
      </w:numPr>
      <w:spacing w:before="0" w:after="0"/>
    </w:pPr>
    <w:rPr/>
  </w:style>
  <w:style w:type="paragraph" w:styleId="13">
    <w:name w:val="Конец нумерованного списка 1"/>
    <w:basedOn w:val="Style33"/>
    <w:next w:val="12"/>
    <w:qFormat/>
    <w:pPr>
      <w:spacing w:before="0" w:after="0"/>
      <w:ind w:left="0" w:right="0" w:hanging="0"/>
    </w:pPr>
    <w:rPr/>
  </w:style>
  <w:style w:type="paragraph" w:styleId="14">
    <w:name w:val="Продолжение нумерованного списка 1"/>
    <w:basedOn w:val="Style33"/>
    <w:qFormat/>
    <w:pPr>
      <w:spacing w:before="0" w:after="0"/>
      <w:ind w:left="0" w:right="0" w:hanging="0"/>
    </w:pPr>
    <w:rPr/>
  </w:style>
  <w:style w:type="paragraph" w:styleId="21">
    <w:name w:val="Начало нумерованного списка 2"/>
    <w:basedOn w:val="Style33"/>
    <w:next w:val="22"/>
    <w:qFormat/>
    <w:pPr>
      <w:spacing w:before="0" w:after="0"/>
      <w:ind w:left="0" w:right="0" w:hanging="0"/>
    </w:pPr>
    <w:rPr/>
  </w:style>
  <w:style w:type="paragraph" w:styleId="22">
    <w:name w:val="List Number 2"/>
    <w:basedOn w:val="Style33"/>
    <w:pPr>
      <w:spacing w:before="0" w:after="0"/>
      <w:ind w:left="0" w:right="0" w:hanging="0"/>
    </w:pPr>
    <w:rPr/>
  </w:style>
  <w:style w:type="paragraph" w:styleId="23">
    <w:name w:val="Конец нумерованного списка 2"/>
    <w:basedOn w:val="Style33"/>
    <w:next w:val="22"/>
    <w:qFormat/>
    <w:pPr>
      <w:spacing w:before="0" w:after="0"/>
      <w:ind w:left="0" w:right="0" w:hanging="0"/>
    </w:pPr>
    <w:rPr/>
  </w:style>
  <w:style w:type="paragraph" w:styleId="24">
    <w:name w:val="Продолжение нумерованного списка 2"/>
    <w:basedOn w:val="Style33"/>
    <w:qFormat/>
    <w:pPr>
      <w:spacing w:before="0" w:after="0"/>
      <w:ind w:left="0" w:right="0" w:hanging="0"/>
    </w:pPr>
    <w:rPr/>
  </w:style>
  <w:style w:type="paragraph" w:styleId="31">
    <w:name w:val="Начало нумерованного списка 3"/>
    <w:basedOn w:val="Style33"/>
    <w:next w:val="32"/>
    <w:qFormat/>
    <w:pPr>
      <w:spacing w:before="0" w:after="0"/>
      <w:ind w:left="0" w:right="0" w:hanging="0"/>
    </w:pPr>
    <w:rPr/>
  </w:style>
  <w:style w:type="paragraph" w:styleId="32">
    <w:name w:val="List Number 3"/>
    <w:basedOn w:val="Style33"/>
    <w:pPr>
      <w:spacing w:before="0" w:after="0"/>
      <w:ind w:left="0" w:right="0" w:hanging="0"/>
    </w:pPr>
    <w:rPr/>
  </w:style>
  <w:style w:type="paragraph" w:styleId="33">
    <w:name w:val="Конец нумерованного списка 3"/>
    <w:basedOn w:val="Style33"/>
    <w:next w:val="32"/>
    <w:qFormat/>
    <w:pPr>
      <w:spacing w:before="0" w:after="0"/>
      <w:ind w:left="0" w:right="0" w:hanging="0"/>
    </w:pPr>
    <w:rPr/>
  </w:style>
  <w:style w:type="paragraph" w:styleId="34">
    <w:name w:val="Продолжение нумерованного списка 3"/>
    <w:basedOn w:val="Style33"/>
    <w:qFormat/>
    <w:pPr>
      <w:spacing w:before="0" w:after="0"/>
      <w:ind w:left="0" w:right="0" w:hanging="0"/>
    </w:pPr>
    <w:rPr/>
  </w:style>
  <w:style w:type="paragraph" w:styleId="41">
    <w:name w:val="Начало нумерованного списка 4"/>
    <w:basedOn w:val="Style33"/>
    <w:next w:val="42"/>
    <w:qFormat/>
    <w:pPr>
      <w:spacing w:before="0" w:after="0"/>
      <w:ind w:left="0" w:right="0" w:hanging="0"/>
    </w:pPr>
    <w:rPr/>
  </w:style>
  <w:style w:type="paragraph" w:styleId="42">
    <w:name w:val="List Number 4"/>
    <w:basedOn w:val="Style33"/>
    <w:pPr>
      <w:spacing w:before="0" w:after="0"/>
      <w:ind w:left="0" w:right="0" w:hanging="0"/>
    </w:pPr>
    <w:rPr/>
  </w:style>
  <w:style w:type="paragraph" w:styleId="43">
    <w:name w:val="Конец нумерованного списка 4"/>
    <w:basedOn w:val="Style33"/>
    <w:next w:val="42"/>
    <w:qFormat/>
    <w:pPr>
      <w:spacing w:before="0" w:after="0"/>
      <w:ind w:left="0" w:right="0" w:hanging="0"/>
    </w:pPr>
    <w:rPr/>
  </w:style>
  <w:style w:type="paragraph" w:styleId="44">
    <w:name w:val="Продолжение нумерованного списка 4"/>
    <w:basedOn w:val="Style33"/>
    <w:qFormat/>
    <w:pPr>
      <w:spacing w:before="0" w:after="0"/>
      <w:ind w:left="0" w:right="0" w:hanging="0"/>
    </w:pPr>
    <w:rPr/>
  </w:style>
  <w:style w:type="paragraph" w:styleId="51">
    <w:name w:val="Начало нумерованного списка 5"/>
    <w:basedOn w:val="Style33"/>
    <w:next w:val="52"/>
    <w:qFormat/>
    <w:pPr>
      <w:spacing w:before="0" w:after="0"/>
      <w:ind w:left="0" w:right="0" w:hanging="0"/>
    </w:pPr>
    <w:rPr/>
  </w:style>
  <w:style w:type="paragraph" w:styleId="52">
    <w:name w:val="List Number 5"/>
    <w:basedOn w:val="Style33"/>
    <w:pPr>
      <w:spacing w:before="0" w:after="0"/>
      <w:ind w:left="0" w:right="0" w:hanging="0"/>
    </w:pPr>
    <w:rPr/>
  </w:style>
  <w:style w:type="paragraph" w:styleId="53">
    <w:name w:val="Конец нумерованного списка 5"/>
    <w:basedOn w:val="Style33"/>
    <w:next w:val="52"/>
    <w:qFormat/>
    <w:pPr>
      <w:spacing w:before="0" w:after="0"/>
      <w:ind w:left="0" w:right="0" w:hanging="0"/>
    </w:pPr>
    <w:rPr/>
  </w:style>
  <w:style w:type="paragraph" w:styleId="54">
    <w:name w:val="Продолжение нумерованного списка 5"/>
    <w:basedOn w:val="Style33"/>
    <w:qFormat/>
    <w:pPr>
      <w:spacing w:before="0" w:after="0"/>
      <w:ind w:left="0" w:right="0" w:hanging="0"/>
    </w:pPr>
    <w:rPr/>
  </w:style>
  <w:style w:type="paragraph" w:styleId="15">
    <w:name w:val="Начало маркированного списка 1"/>
    <w:basedOn w:val="Style33"/>
    <w:next w:val="16"/>
    <w:qFormat/>
    <w:pPr>
      <w:spacing w:before="0" w:after="0"/>
      <w:ind w:left="0" w:right="0" w:hanging="0"/>
    </w:pPr>
    <w:rPr/>
  </w:style>
  <w:style w:type="paragraph" w:styleId="16">
    <w:name w:val="List 2"/>
    <w:basedOn w:val="Style33"/>
    <w:pPr>
      <w:numPr>
        <w:ilvl w:val="0"/>
        <w:numId w:val="3"/>
      </w:numPr>
      <w:spacing w:before="0" w:after="0"/>
    </w:pPr>
    <w:rPr/>
  </w:style>
  <w:style w:type="paragraph" w:styleId="17">
    <w:name w:val="Конец маркированного списка 1"/>
    <w:basedOn w:val="Style33"/>
    <w:next w:val="16"/>
    <w:qFormat/>
    <w:pPr>
      <w:spacing w:before="0" w:after="0"/>
      <w:ind w:left="0" w:right="0" w:hanging="0"/>
    </w:pPr>
    <w:rPr/>
  </w:style>
  <w:style w:type="paragraph" w:styleId="18">
    <w:name w:val="List Continue"/>
    <w:basedOn w:val="Style33"/>
    <w:pPr>
      <w:spacing w:before="0" w:after="0"/>
      <w:ind w:left="0" w:right="0" w:hanging="0"/>
    </w:pPr>
    <w:rPr/>
  </w:style>
  <w:style w:type="paragraph" w:styleId="25">
    <w:name w:val="Начало маркированного списка 2"/>
    <w:basedOn w:val="Style33"/>
    <w:next w:val="26"/>
    <w:qFormat/>
    <w:pPr>
      <w:spacing w:before="0" w:after="0"/>
      <w:ind w:left="0" w:right="0" w:hanging="0"/>
    </w:pPr>
    <w:rPr/>
  </w:style>
  <w:style w:type="paragraph" w:styleId="26">
    <w:name w:val="List Bullet 3"/>
    <w:basedOn w:val="Style33"/>
    <w:pPr>
      <w:spacing w:before="0" w:after="0"/>
      <w:ind w:left="0" w:right="0" w:hanging="0"/>
    </w:pPr>
    <w:rPr/>
  </w:style>
  <w:style w:type="paragraph" w:styleId="27">
    <w:name w:val="Конец маркированного списка 2"/>
    <w:basedOn w:val="Style33"/>
    <w:next w:val="26"/>
    <w:qFormat/>
    <w:pPr>
      <w:spacing w:before="0" w:after="0"/>
      <w:ind w:left="0" w:right="0" w:hanging="0"/>
    </w:pPr>
    <w:rPr/>
  </w:style>
  <w:style w:type="paragraph" w:styleId="28">
    <w:name w:val="List Continue 2"/>
    <w:basedOn w:val="Style33"/>
    <w:pPr>
      <w:spacing w:before="0" w:after="0"/>
      <w:ind w:left="0" w:right="0" w:hanging="0"/>
    </w:pPr>
    <w:rPr/>
  </w:style>
  <w:style w:type="paragraph" w:styleId="35">
    <w:name w:val="Начало маркированного списка 3"/>
    <w:basedOn w:val="Style33"/>
    <w:next w:val="36"/>
    <w:qFormat/>
    <w:pPr>
      <w:spacing w:before="0" w:after="0"/>
      <w:ind w:left="0" w:right="0" w:hanging="0"/>
    </w:pPr>
    <w:rPr/>
  </w:style>
  <w:style w:type="paragraph" w:styleId="36">
    <w:name w:val="List Bullet 4"/>
    <w:basedOn w:val="Style33"/>
    <w:pPr>
      <w:spacing w:before="0" w:after="0"/>
      <w:ind w:left="0" w:right="0" w:hanging="0"/>
    </w:pPr>
    <w:rPr/>
  </w:style>
  <w:style w:type="paragraph" w:styleId="37">
    <w:name w:val="Конец маркированного списка 3"/>
    <w:basedOn w:val="Style33"/>
    <w:next w:val="36"/>
    <w:qFormat/>
    <w:pPr>
      <w:spacing w:before="0" w:after="0"/>
      <w:ind w:left="0" w:right="0" w:hanging="0"/>
    </w:pPr>
    <w:rPr/>
  </w:style>
  <w:style w:type="paragraph" w:styleId="38">
    <w:name w:val="List Continue 3"/>
    <w:basedOn w:val="Style33"/>
    <w:pPr>
      <w:spacing w:before="0" w:after="0"/>
      <w:ind w:left="0" w:right="0" w:hanging="0"/>
    </w:pPr>
    <w:rPr/>
  </w:style>
  <w:style w:type="paragraph" w:styleId="45">
    <w:name w:val="Начало маркированного списка 4"/>
    <w:basedOn w:val="Style33"/>
    <w:next w:val="46"/>
    <w:qFormat/>
    <w:pPr>
      <w:spacing w:before="0" w:after="0"/>
      <w:ind w:left="0" w:right="0" w:hanging="0"/>
    </w:pPr>
    <w:rPr/>
  </w:style>
  <w:style w:type="paragraph" w:styleId="46">
    <w:name w:val="List Bullet 5"/>
    <w:basedOn w:val="Style33"/>
    <w:pPr>
      <w:spacing w:before="0" w:after="0"/>
      <w:ind w:left="0" w:right="0" w:hanging="0"/>
    </w:pPr>
    <w:rPr/>
  </w:style>
  <w:style w:type="paragraph" w:styleId="47">
    <w:name w:val="Конец маркированного списка 4"/>
    <w:basedOn w:val="Style33"/>
    <w:next w:val="46"/>
    <w:qFormat/>
    <w:pPr>
      <w:spacing w:before="0" w:after="0"/>
      <w:ind w:left="0" w:right="0" w:hanging="0"/>
    </w:pPr>
    <w:rPr/>
  </w:style>
  <w:style w:type="paragraph" w:styleId="48">
    <w:name w:val="List Continue 4"/>
    <w:basedOn w:val="Style33"/>
    <w:pPr>
      <w:spacing w:before="0" w:after="0"/>
      <w:ind w:left="0" w:right="0" w:hanging="0"/>
    </w:pPr>
    <w:rPr/>
  </w:style>
  <w:style w:type="paragraph" w:styleId="55">
    <w:name w:val="Начало маркированного списка 5"/>
    <w:basedOn w:val="Style33"/>
    <w:next w:val="56"/>
    <w:qFormat/>
    <w:pPr>
      <w:spacing w:before="0" w:after="0"/>
      <w:ind w:left="0" w:right="0" w:hanging="0"/>
    </w:pPr>
    <w:rPr/>
  </w:style>
  <w:style w:type="paragraph" w:styleId="56">
    <w:name w:val="List Number"/>
    <w:basedOn w:val="Style33"/>
    <w:pPr>
      <w:spacing w:before="0" w:after="0"/>
      <w:ind w:left="0" w:right="0" w:hanging="0"/>
    </w:pPr>
    <w:rPr/>
  </w:style>
  <w:style w:type="paragraph" w:styleId="57">
    <w:name w:val="Конец маркированного списка 5"/>
    <w:basedOn w:val="Style33"/>
    <w:next w:val="56"/>
    <w:qFormat/>
    <w:pPr>
      <w:spacing w:before="0" w:after="0"/>
      <w:ind w:left="0" w:right="0" w:hanging="0"/>
    </w:pPr>
    <w:rPr/>
  </w:style>
  <w:style w:type="paragraph" w:styleId="58">
    <w:name w:val="List Continue 5"/>
    <w:basedOn w:val="Style33"/>
    <w:pPr>
      <w:spacing w:before="0" w:after="0"/>
      <w:ind w:left="0" w:right="0" w:hanging="0"/>
    </w:pPr>
    <w:rPr/>
  </w:style>
  <w:style w:type="paragraph" w:styleId="Style46">
    <w:name w:val="Index Heading"/>
    <w:basedOn w:val="Style31"/>
    <w:pPr>
      <w:ind w:left="0" w:right="0" w:hanging="0"/>
    </w:pPr>
    <w:rPr/>
  </w:style>
  <w:style w:type="paragraph" w:styleId="19">
    <w:name w:val="Index 1"/>
    <w:basedOn w:val="Style35"/>
    <w:pPr>
      <w:ind w:left="0" w:right="0" w:hanging="0"/>
    </w:pPr>
    <w:rPr/>
  </w:style>
  <w:style w:type="paragraph" w:styleId="29">
    <w:name w:val="Index 2"/>
    <w:basedOn w:val="Style35"/>
    <w:pPr>
      <w:ind w:left="0" w:right="0" w:hanging="0"/>
    </w:pPr>
    <w:rPr/>
  </w:style>
  <w:style w:type="paragraph" w:styleId="39">
    <w:name w:val="Index 3"/>
    <w:basedOn w:val="Style35"/>
    <w:pPr>
      <w:ind w:left="0" w:right="0" w:hanging="0"/>
    </w:pPr>
    <w:rPr/>
  </w:style>
  <w:style w:type="paragraph" w:styleId="Style47">
    <w:name w:val="Разделитель предметного указателя"/>
    <w:basedOn w:val="Style35"/>
    <w:qFormat/>
    <w:pPr>
      <w:ind w:left="0" w:right="0" w:hanging="0"/>
    </w:pPr>
    <w:rPr/>
  </w:style>
  <w:style w:type="paragraph" w:styleId="Style48">
    <w:name w:val="TOA Heading"/>
    <w:basedOn w:val="Style31"/>
    <w:next w:val="110"/>
    <w:pPr>
      <w:ind w:left="0" w:right="0" w:hanging="0"/>
    </w:pPr>
    <w:rPr/>
  </w:style>
  <w:style w:type="paragraph" w:styleId="110">
    <w:name w:val="TOC 1"/>
    <w:basedOn w:val="Style35"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210">
    <w:name w:val="TOC 2"/>
    <w:basedOn w:val="Style35"/>
    <w:pPr>
      <w:tabs>
        <w:tab w:val="clear" w:pos="709"/>
        <w:tab w:val="right" w:pos="9355" w:leader="dot"/>
      </w:tabs>
      <w:ind w:left="0" w:right="0" w:hanging="0"/>
    </w:pPr>
    <w:rPr/>
  </w:style>
  <w:style w:type="paragraph" w:styleId="310">
    <w:name w:val="TOC 3"/>
    <w:basedOn w:val="Style35"/>
    <w:pPr>
      <w:tabs>
        <w:tab w:val="clear" w:pos="709"/>
        <w:tab w:val="right" w:pos="9072" w:leader="dot"/>
      </w:tabs>
      <w:ind w:left="0" w:right="0" w:hanging="0"/>
    </w:pPr>
    <w:rPr/>
  </w:style>
  <w:style w:type="paragraph" w:styleId="49">
    <w:name w:val="TOC 4"/>
    <w:basedOn w:val="Style35"/>
    <w:pPr>
      <w:tabs>
        <w:tab w:val="clear" w:pos="709"/>
        <w:tab w:val="right" w:pos="8789" w:leader="dot"/>
      </w:tabs>
      <w:ind w:left="0" w:right="0" w:hanging="0"/>
    </w:pPr>
    <w:rPr/>
  </w:style>
  <w:style w:type="paragraph" w:styleId="59">
    <w:name w:val="TOC 5"/>
    <w:basedOn w:val="Style35"/>
    <w:pPr>
      <w:tabs>
        <w:tab w:val="clear" w:pos="709"/>
        <w:tab w:val="right" w:pos="8506" w:leader="dot"/>
      </w:tabs>
      <w:ind w:left="0" w:right="0" w:hanging="0"/>
    </w:pPr>
    <w:rPr/>
  </w:style>
  <w:style w:type="paragraph" w:styleId="Style49">
    <w:name w:val="Заголовок указателей пользователя"/>
    <w:basedOn w:val="Style31"/>
    <w:qFormat/>
    <w:pPr/>
    <w:rPr/>
  </w:style>
  <w:style w:type="paragraph" w:styleId="111">
    <w:name w:val="Указатель пользователя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211">
    <w:name w:val="Указатель пользователя 2"/>
    <w:basedOn w:val="Style35"/>
    <w:qFormat/>
    <w:pPr>
      <w:tabs>
        <w:tab w:val="clear" w:pos="709"/>
        <w:tab w:val="right" w:pos="9355" w:leader="dot"/>
      </w:tabs>
      <w:ind w:left="0" w:right="0" w:hanging="0"/>
    </w:pPr>
    <w:rPr/>
  </w:style>
  <w:style w:type="paragraph" w:styleId="311">
    <w:name w:val="Указатель пользователя 3"/>
    <w:basedOn w:val="Style35"/>
    <w:qFormat/>
    <w:pPr>
      <w:tabs>
        <w:tab w:val="clear" w:pos="709"/>
        <w:tab w:val="right" w:pos="9072" w:leader="dot"/>
      </w:tabs>
      <w:ind w:left="0" w:right="0" w:hanging="0"/>
    </w:pPr>
    <w:rPr/>
  </w:style>
  <w:style w:type="paragraph" w:styleId="410">
    <w:name w:val="Указатель пользователя 4"/>
    <w:basedOn w:val="Style35"/>
    <w:qFormat/>
    <w:pPr>
      <w:tabs>
        <w:tab w:val="clear" w:pos="709"/>
        <w:tab w:val="right" w:pos="8789" w:leader="dot"/>
      </w:tabs>
      <w:ind w:left="0" w:right="0" w:hanging="0"/>
    </w:pPr>
    <w:rPr/>
  </w:style>
  <w:style w:type="paragraph" w:styleId="510">
    <w:name w:val="Указатель пользователя 5"/>
    <w:basedOn w:val="Style35"/>
    <w:qFormat/>
    <w:pPr>
      <w:tabs>
        <w:tab w:val="clear" w:pos="709"/>
        <w:tab w:val="right" w:pos="8506" w:leader="dot"/>
      </w:tabs>
      <w:ind w:left="0" w:right="0" w:hanging="0"/>
    </w:pPr>
    <w:rPr/>
  </w:style>
  <w:style w:type="paragraph" w:styleId="61">
    <w:name w:val="TOC 6"/>
    <w:basedOn w:val="Style35"/>
    <w:pPr>
      <w:tabs>
        <w:tab w:val="clear" w:pos="709"/>
        <w:tab w:val="right" w:pos="8223" w:leader="dot"/>
      </w:tabs>
      <w:ind w:left="0" w:right="0" w:hanging="0"/>
    </w:pPr>
    <w:rPr/>
  </w:style>
  <w:style w:type="paragraph" w:styleId="71">
    <w:name w:val="TOC 7"/>
    <w:basedOn w:val="Style35"/>
    <w:pPr>
      <w:tabs>
        <w:tab w:val="clear" w:pos="709"/>
        <w:tab w:val="right" w:pos="7940" w:leader="dot"/>
      </w:tabs>
      <w:ind w:left="0" w:right="0" w:hanging="0"/>
    </w:pPr>
    <w:rPr/>
  </w:style>
  <w:style w:type="paragraph" w:styleId="81">
    <w:name w:val="TOC 8"/>
    <w:basedOn w:val="Style35"/>
    <w:pPr>
      <w:tabs>
        <w:tab w:val="clear" w:pos="709"/>
        <w:tab w:val="right" w:pos="7657" w:leader="dot"/>
      </w:tabs>
      <w:ind w:left="0" w:right="0" w:hanging="0"/>
    </w:pPr>
    <w:rPr/>
  </w:style>
  <w:style w:type="paragraph" w:styleId="91">
    <w:name w:val="TOC 9"/>
    <w:basedOn w:val="Style35"/>
    <w:pPr>
      <w:tabs>
        <w:tab w:val="clear" w:pos="709"/>
        <w:tab w:val="right" w:pos="7374" w:leader="dot"/>
      </w:tabs>
      <w:ind w:left="0" w:right="0" w:hanging="0"/>
    </w:pPr>
    <w:rPr/>
  </w:style>
  <w:style w:type="paragraph" w:styleId="101">
    <w:name w:val="Оглавление 10"/>
    <w:basedOn w:val="Style35"/>
    <w:qFormat/>
    <w:pPr>
      <w:tabs>
        <w:tab w:val="clear" w:pos="709"/>
        <w:tab w:val="right" w:pos="7091" w:leader="dot"/>
      </w:tabs>
      <w:ind w:left="0" w:right="0" w:hanging="0"/>
    </w:pPr>
    <w:rPr/>
  </w:style>
  <w:style w:type="paragraph" w:styleId="IllustrationIndexHeading">
    <w:name w:val="Illustration Index Heading"/>
    <w:basedOn w:val="Style31"/>
    <w:qFormat/>
    <w:pPr>
      <w:ind w:left="0" w:right="0" w:hanging="0"/>
    </w:pPr>
    <w:rPr/>
  </w:style>
  <w:style w:type="paragraph" w:styleId="IllustrationIndex1">
    <w:name w:val="Illustration Index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50">
    <w:name w:val="Заголовок списка объектов"/>
    <w:basedOn w:val="Style31"/>
    <w:qFormat/>
    <w:pPr>
      <w:ind w:left="0" w:right="0" w:hanging="0"/>
    </w:pPr>
    <w:rPr/>
  </w:style>
  <w:style w:type="paragraph" w:styleId="112">
    <w:name w:val="Список объектов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51">
    <w:name w:val="Заголовок списка таблиц"/>
    <w:basedOn w:val="Style31"/>
    <w:qFormat/>
    <w:pPr>
      <w:ind w:left="0" w:right="0" w:hanging="0"/>
    </w:pPr>
    <w:rPr/>
  </w:style>
  <w:style w:type="paragraph" w:styleId="113">
    <w:name w:val="Список таблиц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Style52">
    <w:name w:val="Table of Authorities"/>
    <w:basedOn w:val="Style31"/>
    <w:pPr>
      <w:ind w:left="0" w:right="0" w:hanging="0"/>
    </w:pPr>
    <w:rPr/>
  </w:style>
  <w:style w:type="paragraph" w:styleId="114">
    <w:name w:val="Библиография 1"/>
    <w:basedOn w:val="Style35"/>
    <w:qFormat/>
    <w:pPr>
      <w:tabs>
        <w:tab w:val="clear" w:pos="709"/>
        <w:tab w:val="right" w:pos="9638" w:leader="dot"/>
      </w:tabs>
      <w:ind w:left="0" w:right="0" w:hanging="0"/>
    </w:pPr>
    <w:rPr/>
  </w:style>
  <w:style w:type="paragraph" w:styleId="62">
    <w:name w:val="Указатель пользователя 6"/>
    <w:basedOn w:val="Style35"/>
    <w:qFormat/>
    <w:pPr>
      <w:tabs>
        <w:tab w:val="clear" w:pos="709"/>
        <w:tab w:val="right" w:pos="8223" w:leader="dot"/>
      </w:tabs>
      <w:ind w:left="0" w:right="0" w:hanging="0"/>
    </w:pPr>
    <w:rPr/>
  </w:style>
  <w:style w:type="paragraph" w:styleId="72">
    <w:name w:val="Указатель пользователя 7"/>
    <w:basedOn w:val="Style35"/>
    <w:qFormat/>
    <w:pPr>
      <w:tabs>
        <w:tab w:val="clear" w:pos="709"/>
        <w:tab w:val="right" w:pos="7940" w:leader="dot"/>
      </w:tabs>
      <w:ind w:left="0" w:right="0" w:hanging="0"/>
    </w:pPr>
    <w:rPr/>
  </w:style>
  <w:style w:type="paragraph" w:styleId="82">
    <w:name w:val="Указатель пользователя 8"/>
    <w:basedOn w:val="Style35"/>
    <w:qFormat/>
    <w:pPr>
      <w:tabs>
        <w:tab w:val="clear" w:pos="709"/>
        <w:tab w:val="right" w:pos="7657" w:leader="dot"/>
      </w:tabs>
      <w:ind w:left="0" w:right="0" w:hanging="0"/>
    </w:pPr>
    <w:rPr/>
  </w:style>
  <w:style w:type="paragraph" w:styleId="92">
    <w:name w:val="Указатель пользователя 9"/>
    <w:basedOn w:val="Style35"/>
    <w:qFormat/>
    <w:pPr>
      <w:tabs>
        <w:tab w:val="clear" w:pos="709"/>
        <w:tab w:val="right" w:pos="7374" w:leader="dot"/>
      </w:tabs>
      <w:ind w:left="0" w:right="0" w:hanging="0"/>
    </w:pPr>
    <w:rPr/>
  </w:style>
  <w:style w:type="paragraph" w:styleId="102">
    <w:name w:val="Указатель пользователя 10"/>
    <w:basedOn w:val="Style35"/>
    <w:qFormat/>
    <w:pPr>
      <w:tabs>
        <w:tab w:val="clear" w:pos="709"/>
        <w:tab w:val="right" w:pos="7091" w:leader="dot"/>
      </w:tabs>
      <w:ind w:left="0" w:right="0" w:hanging="0"/>
    </w:pPr>
    <w:rPr/>
  </w:style>
  <w:style w:type="paragraph" w:styleId="Style53">
    <w:name w:val="Верхний и нижний колонтитулы"/>
    <w:basedOn w:val="Normal"/>
    <w:qFormat/>
    <w:pPr>
      <w:suppressLineNumbers/>
      <w:tabs>
        <w:tab w:val="clear" w:pos="709"/>
        <w:tab w:val="center" w:pos="4819" w:leader="none"/>
        <w:tab w:val="right" w:pos="9638" w:leader="none"/>
      </w:tabs>
    </w:pPr>
    <w:rPr/>
  </w:style>
  <w:style w:type="paragraph" w:styleId="Style54">
    <w:name w:val="Head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55">
    <w:name w:val="Верх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56">
    <w:name w:val="Верх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57">
    <w:name w:val="Footer"/>
    <w:basedOn w:val="Normal"/>
    <w:pPr>
      <w:tabs>
        <w:tab w:val="clear" w:pos="709"/>
        <w:tab w:val="center" w:pos="4819" w:leader="none"/>
        <w:tab w:val="right" w:pos="9638" w:leader="none"/>
      </w:tabs>
      <w:jc w:val="center"/>
    </w:pPr>
    <w:rPr/>
  </w:style>
  <w:style w:type="paragraph" w:styleId="Style58">
    <w:name w:val="Нижний колонтитул сле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left"/>
    </w:pPr>
    <w:rPr/>
  </w:style>
  <w:style w:type="paragraph" w:styleId="Style59">
    <w:name w:val="Нижний колонтитул справа"/>
    <w:basedOn w:val="Normal"/>
    <w:qFormat/>
    <w:pPr>
      <w:tabs>
        <w:tab w:val="clear" w:pos="709"/>
        <w:tab w:val="center" w:pos="4819" w:leader="none"/>
        <w:tab w:val="right" w:pos="9638" w:leader="none"/>
      </w:tabs>
      <w:jc w:val="right"/>
    </w:pPr>
    <w:rPr/>
  </w:style>
  <w:style w:type="paragraph" w:styleId="Style60">
    <w:name w:val="Содержимое таблицы"/>
    <w:basedOn w:val="Normal"/>
    <w:qFormat/>
    <w:pPr/>
    <w:rPr/>
  </w:style>
  <w:style w:type="paragraph" w:styleId="Style61">
    <w:name w:val="Заголовок таблицы"/>
    <w:basedOn w:val="Style60"/>
    <w:qFormat/>
    <w:pPr>
      <w:jc w:val="center"/>
    </w:pPr>
    <w:rPr>
      <w:b/>
    </w:rPr>
  </w:style>
  <w:style w:type="paragraph" w:styleId="Style62">
    <w:name w:val="Иллюстрация"/>
    <w:basedOn w:val="Style34"/>
    <w:qFormat/>
    <w:pPr/>
    <w:rPr/>
  </w:style>
  <w:style w:type="paragraph" w:styleId="Style63">
    <w:name w:val="Таблица"/>
    <w:basedOn w:val="Style34"/>
    <w:qFormat/>
    <w:pPr/>
    <w:rPr/>
  </w:style>
  <w:style w:type="paragraph" w:styleId="Style64">
    <w:name w:val="Текст"/>
    <w:basedOn w:val="Style34"/>
    <w:qFormat/>
    <w:pPr/>
    <w:rPr/>
  </w:style>
  <w:style w:type="paragraph" w:styleId="Style65">
    <w:name w:val="Содержимое врезки"/>
    <w:basedOn w:val="Normal"/>
    <w:qFormat/>
    <w:pPr/>
    <w:rPr/>
  </w:style>
  <w:style w:type="paragraph" w:styleId="Style66">
    <w:name w:val="Footnote Text"/>
    <w:basedOn w:val="Normal"/>
    <w:pPr>
      <w:ind w:left="0" w:right="0" w:hanging="0"/>
      <w:jc w:val="left"/>
    </w:pPr>
    <w:rPr>
      <w:sz w:val="28"/>
      <w:szCs w:val="24"/>
    </w:rPr>
  </w:style>
  <w:style w:type="paragraph" w:styleId="Style67">
    <w:name w:val="Envelope Address"/>
    <w:basedOn w:val="Normal"/>
    <w:pPr>
      <w:spacing w:before="0" w:after="0"/>
    </w:pPr>
    <w:rPr/>
  </w:style>
  <w:style w:type="paragraph" w:styleId="Style68">
    <w:name w:val="Envelope Return"/>
    <w:basedOn w:val="Normal"/>
    <w:pPr>
      <w:spacing w:before="0" w:after="0"/>
    </w:pPr>
    <w:rPr/>
  </w:style>
  <w:style w:type="paragraph" w:styleId="Style69">
    <w:name w:val="Endnote Text"/>
    <w:basedOn w:val="Normal"/>
    <w:pPr>
      <w:ind w:left="0" w:right="0" w:hanging="0"/>
    </w:pPr>
    <w:rPr>
      <w:sz w:val="28"/>
      <w:szCs w:val="24"/>
    </w:rPr>
  </w:style>
  <w:style w:type="paragraph" w:styleId="Style70">
    <w:name w:val="Table of Figures"/>
    <w:basedOn w:val="Style34"/>
    <w:pPr/>
    <w:rPr/>
  </w:style>
  <w:style w:type="paragraph" w:styleId="Style71">
    <w:name w:val="Текст в заданном формате"/>
    <w:basedOn w:val="Normal"/>
    <w:qFormat/>
    <w:pPr>
      <w:spacing w:before="0" w:after="0"/>
    </w:pPr>
    <w:rPr>
      <w:rFonts w:ascii="PT Astra Serif" w:hAnsi="PT Astra Serif" w:eastAsia="Source Han Sans CN Regular" w:cs="Lohit Devanagari"/>
      <w:sz w:val="28"/>
      <w:szCs w:val="24"/>
    </w:rPr>
  </w:style>
  <w:style w:type="paragraph" w:styleId="Style72">
    <w:name w:val="Горизонтальная линия"/>
    <w:basedOn w:val="Normal"/>
    <w:next w:val="Style32"/>
    <w:qFormat/>
    <w:pPr>
      <w:pBdr>
        <w:bottom w:val="single" w:sz="8" w:space="0" w:color="000000"/>
      </w:pBdr>
      <w:spacing w:before="0" w:after="0"/>
    </w:pPr>
    <w:rPr>
      <w:sz w:val="4"/>
      <w:szCs w:val="24"/>
    </w:rPr>
  </w:style>
  <w:style w:type="paragraph" w:styleId="Style73">
    <w:name w:val="Содержимое списка"/>
    <w:basedOn w:val="Normal"/>
    <w:qFormat/>
    <w:pPr>
      <w:ind w:left="0" w:right="0" w:hanging="0"/>
    </w:pPr>
    <w:rPr/>
  </w:style>
  <w:style w:type="paragraph" w:styleId="Style74">
    <w:name w:val="Заголовок списка"/>
    <w:basedOn w:val="Normal"/>
    <w:next w:val="Style73"/>
    <w:qFormat/>
    <w:pPr>
      <w:ind w:left="0" w:right="0" w:hanging="0"/>
    </w:pPr>
    <w:rPr/>
  </w:style>
  <w:style w:type="paragraph" w:styleId="Style75">
    <w:name w:val="Гриф_Экземпляр"/>
    <w:basedOn w:val="Normal"/>
    <w:qFormat/>
    <w:pPr>
      <w:ind w:left="0" w:right="0" w:hanging="0"/>
    </w:pPr>
    <w:rPr>
      <w:sz w:val="24"/>
    </w:rPr>
  </w:style>
  <w:style w:type="paragraph" w:styleId="Style76">
    <w:name w:val="Исполнитель документа"/>
    <w:basedOn w:val="Normal"/>
    <w:qFormat/>
    <w:pPr>
      <w:jc w:val="left"/>
    </w:pPr>
    <w:rPr>
      <w:sz w:val="24"/>
    </w:rPr>
  </w:style>
  <w:style w:type="paragraph" w:styleId="ConsPlusNormal">
    <w:name w:val="ConsPlusNormal"/>
    <w:qFormat/>
    <w:pPr>
      <w:widowControl/>
      <w:suppressAutoHyphens w:val="true"/>
      <w:kinsoku w:val="true"/>
      <w:overflowPunct w:val="true"/>
      <w:autoSpaceDE w:val="true"/>
      <w:bidi w:val="0"/>
      <w:ind w:left="0" w:right="0" w:firstLine="720"/>
    </w:pPr>
    <w:rPr>
      <w:rFonts w:ascii="Arial" w:hAnsi="Arial" w:eastAsia="Times New Roman" w:cs="Arial"/>
      <w:color w:val="auto"/>
      <w:kern w:val="2"/>
      <w:sz w:val="20"/>
      <w:szCs w:val="20"/>
      <w:lang w:val="ru-RU" w:eastAsia="zh-CN" w:bidi="ar-SA"/>
    </w:rPr>
  </w:style>
  <w:style w:type="paragraph" w:styleId="Standard">
    <w:name w:val="Standard"/>
    <w:qFormat/>
    <w:pPr>
      <w:widowControl/>
      <w:suppressAutoHyphens w:val="true"/>
      <w:kinsoku w:val="true"/>
      <w:overflowPunct w:val="true"/>
      <w:autoSpaceDE w:val="true"/>
      <w:bidi w:val="0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123">
    <w:name w:val="Нумерованный 123"/>
    <w:qFormat/>
  </w:style>
  <w:style w:type="numbering" w:styleId="ABC">
    <w:name w:val="Нумерованный ABC"/>
    <w:qFormat/>
  </w:style>
  <w:style w:type="numbering" w:styleId="Abc1">
    <w:name w:val="Нумерованный abc"/>
    <w:qFormat/>
  </w:style>
  <w:style w:type="numbering" w:styleId="IVX">
    <w:name w:val="Нумерованный IVX"/>
    <w:qFormat/>
  </w:style>
  <w:style w:type="numbering" w:styleId="Ivx1">
    <w:name w:val="Нумерованный ivx"/>
    <w:qFormat/>
  </w:style>
  <w:style w:type="numbering" w:styleId="Style77">
    <w:name w:val="Маркер •"/>
    <w:qFormat/>
  </w:style>
  <w:style w:type="numbering" w:styleId="Style78">
    <w:name w:val="Маркер –"/>
    <w:qFormat/>
  </w:style>
  <w:style w:type="numbering" w:styleId="Style79">
    <w:name w:val="Маркер "/>
    <w:qFormat/>
  </w:style>
  <w:style w:type="numbering" w:styleId="Style80">
    <w:name w:val="Маркер "/>
    <w:qFormat/>
  </w:style>
  <w:style w:type="numbering" w:styleId="Style81">
    <w:name w:val="Маркер "/>
    <w:qFormat/>
  </w:style>
  <w:style w:type="numbering" w:styleId="115">
    <w:name w:val="Нумерованный 1)"/>
    <w:qFormat/>
  </w:style>
  <w:style w:type="numbering" w:styleId="Style82">
    <w:name w:val="Нумерованный а)"/>
    <w:qFormat/>
  </w:style>
  <w:style w:type="numbering" w:styleId="Style83">
    <w:name w:val="Нумерованный для таблиц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header" Target="header1.xml"/><Relationship Id="rId3" Type="http://schemas.openxmlformats.org/officeDocument/2006/relationships/footer" Target="footer1.xml"/><Relationship Id="rId4" Type="http://schemas.openxmlformats.org/officeDocument/2006/relationships/footnotes" Target="footnotes.xml"/><Relationship Id="rId5" Type="http://schemas.openxmlformats.org/officeDocument/2006/relationships/numbering" Target="numbering.xml"/><Relationship Id="rId6" Type="http://schemas.openxmlformats.org/officeDocument/2006/relationships/fontTable" Target="fontTable.xml"/><Relationship Id="rId7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3226</TotalTime>
  <Application>LibreOffice/6.4.7.2$Linux_X86_64 LibreOffice_project/40$Build-2</Application>
  <Pages>2</Pages>
  <Words>483</Words>
  <Characters>3354</Characters>
  <CharactersWithSpaces>3912</CharactersWithSpaces>
  <Paragraphs>32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2020-09-18T15:36:04Z</dcterms:created>
  <dc:creator/>
  <dc:description/>
  <dc:language>ru-RU</dc:language>
  <cp:lastModifiedBy/>
  <cp:lastPrinted>2022-02-03T15:34:14Z</cp:lastPrinted>
  <dcterms:modified xsi:type="dcterms:W3CDTF">2025-07-07T15:17:19Z</dcterms:modified>
  <cp:revision>55</cp:revision>
  <dc:subject/>
  <dc:title>Default</dc:title>
</cp:coreProperties>
</file>