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color w:val="C9211E"/>
        </w:rPr>
      </w:pPr>
      <w:r>
        <w:rPr>
          <w:color w:val="C9211E"/>
        </w:rPr>
      </w:r>
    </w:p>
    <w:p>
      <w:pPr>
        <w:pStyle w:val="Normal"/>
        <w:spacing w:lineRule="auto" w:line="240" w:before="0" w:after="0"/>
        <w:jc w:val="center"/>
        <w:rPr>
          <w:color w:val="auto"/>
        </w:rPr>
      </w:pPr>
      <w:r>
        <w:rPr>
          <w:rFonts w:eastAsia="Times New Roman" w:cs="Times New Roman" w:ascii="PT Astra Serif" w:hAnsi="PT Astra Serif"/>
          <w:b/>
          <w:color w:val="auto"/>
          <w:sz w:val="28"/>
          <w:szCs w:val="28"/>
          <w:lang w:eastAsia="ru-RU"/>
        </w:rPr>
        <w:t>ОБЗОР</w:t>
      </w:r>
    </w:p>
    <w:p>
      <w:pPr>
        <w:pStyle w:val="Normal"/>
        <w:spacing w:lineRule="auto" w:line="240" w:before="0" w:after="0"/>
        <w:jc w:val="center"/>
        <w:rPr>
          <w:color w:val="auto"/>
        </w:rPr>
      </w:pPr>
      <w:r>
        <w:rPr>
          <w:rFonts w:eastAsia="Times New Roman" w:cs="Times New Roman" w:ascii="PT Astra Serif" w:hAnsi="PT Astra Serif"/>
          <w:b/>
          <w:color w:val="auto"/>
          <w:sz w:val="28"/>
          <w:szCs w:val="28"/>
          <w:lang w:eastAsia="ru-RU"/>
        </w:rPr>
        <w:t xml:space="preserve">ПРАВОПРИМЕНИТЕЛЬНОЙ ПРАКТИКИ </w:t>
      </w:r>
    </w:p>
    <w:p>
      <w:pPr>
        <w:pStyle w:val="Normal"/>
        <w:spacing w:lineRule="auto" w:line="240" w:before="0" w:after="0"/>
        <w:jc w:val="center"/>
        <w:rPr>
          <w:color w:val="auto"/>
        </w:rPr>
      </w:pPr>
      <w:r>
        <w:rPr>
          <w:rFonts w:eastAsia="Times New Roman" w:cs="Times New Roman" w:ascii="PT Astra Serif" w:hAnsi="PT Astra Serif"/>
          <w:b/>
          <w:color w:val="auto"/>
          <w:sz w:val="28"/>
          <w:szCs w:val="28"/>
          <w:lang w:eastAsia="ru-RU"/>
        </w:rPr>
        <w:t xml:space="preserve">КОНТРОЛЬНО - НАДЗОРНОЙ ДЕЯТЕЛЬНОСТИ ПОДРАЗДЕЛЕНИЙ ЛИЦЕНЗИОННО - РАЗРЕШИТЕЛЬНОЙ РАБОТЫ </w:t>
      </w:r>
      <w:r>
        <w:rPr>
          <w:rFonts w:eastAsia="Times New Roman" w:cs="Times New Roman" w:ascii="PT Astra Serif" w:hAnsi="PT Astra Serif"/>
          <w:b/>
          <w:color w:val="auto"/>
          <w:kern w:val="0"/>
          <w:sz w:val="28"/>
          <w:szCs w:val="28"/>
          <w:lang w:val="ru-RU" w:eastAsia="ru-RU" w:bidi="ar-SA"/>
        </w:rPr>
        <w:t>УПРАВЛЕНИЯ</w:t>
      </w:r>
      <w:r>
        <w:rPr>
          <w:rFonts w:eastAsia="Times New Roman" w:cs="Times New Roman" w:ascii="PT Astra Serif" w:hAnsi="PT Astra Serif"/>
          <w:b/>
          <w:color w:val="auto"/>
          <w:sz w:val="28"/>
          <w:szCs w:val="28"/>
          <w:lang w:eastAsia="ru-RU"/>
        </w:rPr>
        <w:t xml:space="preserve"> РОСГВАРДИИ ПО РЕСПУБЛИКЕ ХАКАСИЯ</w:t>
      </w:r>
    </w:p>
    <w:p>
      <w:pPr>
        <w:pStyle w:val="Normal"/>
        <w:spacing w:lineRule="auto" w:line="240" w:before="0" w:after="0"/>
        <w:jc w:val="center"/>
        <w:rPr>
          <w:rFonts w:ascii="PT Astra Serif" w:hAnsi="PT Astra Serif" w:eastAsia="Times New Roman" w:cs="Times New Roman"/>
          <w:color w:val="C9211E"/>
          <w:sz w:val="28"/>
          <w:szCs w:val="28"/>
          <w:lang w:eastAsia="ru-RU"/>
        </w:rPr>
      </w:pPr>
      <w:r>
        <w:rPr>
          <w:rFonts w:eastAsia="Times New Roman" w:cs="Times New Roman" w:ascii="PT Astra Serif" w:hAnsi="PT Astra Serif"/>
          <w:color w:val="C9211E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Обзор правоприменительной практики подготовлен за 2025 год по результатам контрольно - надзорной деятельности в сфере частной охранной деятельности.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 </w:t>
      </w:r>
    </w:p>
    <w:p>
      <w:pPr>
        <w:pStyle w:val="Normal"/>
        <w:spacing w:lineRule="auto" w:line="240" w:before="0" w:after="0"/>
        <w:ind w:firstLine="709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b/>
          <w:sz w:val="28"/>
          <w:szCs w:val="28"/>
          <w:lang w:eastAsia="ru-RU"/>
        </w:rPr>
        <w:t>Общие положения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ascii="PT Astra Serif" w:hAnsi="PT Astra Serif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В соответствии с частью 1 пункта 7 статьи 2 Федерального закона от 03.07.2016 № 226-ФЗ «О войсках национальной гвардии Российской Федерации» на войска национальной гвардии возлагается федеральный государственный контроль (надзор) за соблюдением законодательства Российской Федерации в области оборота оружия и в области частной охранной деятельности.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В соответствии с пунктами 16, 20, 26 частью 1 статьи 9 Федерального закона от 03.07.2016 № 226-ФЗ «О войсках национальной гвардии Российской Федерации» войска национальной гвардии наделены следующими полномочиями: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контролировать оборот гражданского, служебного и наградного оружия, боеприпасов, патронов к оружию, сохранность и техническое состояние боевого ручного стрелкового и служебного оружия, находящегося во временном пользовании у граждан и организаций, а также соблюдение гражданами и организациями законодательства Российской Федерации в области оборота оружия;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осуществлять контроль за деятельностью частных охранных организаций, а также участвовать в осуществлении контроля за соблюдением образовательными организациями, реализующими программы профессиональной подготовки частных охранников и дополнительные профессиональные программы для руководителей частных охранных организаций, требований и условий, установленных законодательством Российской Федерации;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 xml:space="preserve">входить беспрепятственно по предъявлении служебного удостоверения в помещения, занимаемые частными охранными организациями и частными детективами, а также в помещения организаций, осуществляющих образовательную деятельность по программам профессионального обучения частных охранников, частных детективов и дополнительным профессиональным программа для руководителей частных охранных организаций, в целях выполнения возложенных на войска национальной гвардии обязанностей по контролю за соблюдением законодательства Российской Федерации в области частной охранной деятельности м частной детективной деятельности; осматривать места хранения специальных средств и огнестрельного оружия; проверять организацию охраны, осуществляемой частными охранными организациям, на соответствие установленным правилам; получать письменную и устную информацию о частных охранных организациях, частных охранниках, частных детективах и об организациях, осуществляющих образовательную деятельность по программам профессионального обучения частных охранников, частных детективов и дополнительным профессиональным программам для руководителей частных охранных организаций; выдавать обязательные для исполнения предписания об устранении выявленных нарушений правил частной охранной деятельности и частной детективной деятельности. 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 xml:space="preserve">В 2025 году подразделениями ЛРР Управления Росгвардии по Республике Хакасия проведено </w:t>
      </w:r>
      <w:r>
        <w:rPr>
          <w:rFonts w:eastAsia="Times New Roman" w:cs="Times New Roman" w:ascii="PT Astra Serif" w:hAnsi="PT Astra Serif"/>
          <w:color w:val="auto"/>
          <w:kern w:val="0"/>
          <w:sz w:val="28"/>
          <w:szCs w:val="28"/>
          <w:lang w:val="ru-RU" w:eastAsia="ru-RU" w:bidi="ar-SA"/>
        </w:rPr>
        <w:t>25</w:t>
      </w: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 xml:space="preserve"> контрольных мероприятий в отношении </w:t>
      </w:r>
      <w:r>
        <w:rPr>
          <w:rFonts w:eastAsia="Times New Roman" w:cs="Times New Roman" w:ascii="PT Astra Serif" w:hAnsi="PT Astra Serif"/>
          <w:color w:val="auto"/>
          <w:kern w:val="0"/>
          <w:sz w:val="28"/>
          <w:szCs w:val="28"/>
          <w:lang w:val="ru-RU" w:eastAsia="ru-RU" w:bidi="ar-SA"/>
        </w:rPr>
        <w:t>19</w:t>
      </w: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 xml:space="preserve"> частных охранных организаций, выявлено </w:t>
      </w:r>
      <w:r>
        <w:rPr>
          <w:rFonts w:eastAsia="Times New Roman" w:cs="Times New Roman" w:ascii="PT Astra Serif" w:hAnsi="PT Astra Serif"/>
          <w:color w:val="auto"/>
          <w:kern w:val="0"/>
          <w:sz w:val="28"/>
          <w:szCs w:val="28"/>
          <w:lang w:val="ru-RU" w:eastAsia="ru-RU" w:bidi="ar-SA"/>
        </w:rPr>
        <w:t>13</w:t>
      </w: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 xml:space="preserve"> нарушени</w:t>
      </w:r>
      <w:r>
        <w:rPr>
          <w:rFonts w:eastAsia="Times New Roman" w:cs="Times New Roman" w:ascii="PT Astra Serif" w:hAnsi="PT Astra Serif"/>
          <w:color w:val="auto"/>
          <w:kern w:val="0"/>
          <w:sz w:val="28"/>
          <w:szCs w:val="28"/>
          <w:lang w:val="ru-RU" w:eastAsia="ru-RU" w:bidi="ar-SA"/>
        </w:rPr>
        <w:t>й</w:t>
      </w: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 xml:space="preserve"> законодательства.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b/>
          <w:sz w:val="28"/>
          <w:szCs w:val="28"/>
          <w:lang w:eastAsia="ru-RU"/>
        </w:rPr>
        <w:t>Основные нарушения, выявленные в ходе проведения контрольных мероприятий.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ascii="PT Astra Serif" w:hAnsi="PT Astra Serif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Основными нарушениями, выявленными в ходе проведения контрольных мероприятий, являются: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color w:val="auto"/>
          <w:kern w:val="0"/>
          <w:sz w:val="28"/>
          <w:szCs w:val="28"/>
          <w:lang w:val="ru-RU" w:eastAsia="ru-RU" w:bidi="ar-SA"/>
        </w:rPr>
        <w:t>2</w:t>
      </w: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 xml:space="preserve"> факта — нарушение требований ч.5 ст. 3 Закона РФ от 11 марта 1992 г. № 2487-1 «О частной детективной и охранной деятельности в Российской Федерации», подпункта «Г» пункта 10 Положения о лицензировании частной охранной деятельности, утвержденного Постановлением Правительства РФ от 23.06.2011 № 498 «О некоторых вопросах осуществления частной детективной (сыскной) и частной охранной деятельности», </w:t>
      </w: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 xml:space="preserve">а именно: </w:t>
      </w: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 xml:space="preserve">работник </w:t>
      </w:r>
      <w:r>
        <w:rPr>
          <w:rFonts w:eastAsia="Times New Roman" w:cs="Times New Roman" w:ascii="PT Astra Serif" w:hAnsi="PT Astra Serif"/>
          <w:color w:val="auto"/>
          <w:kern w:val="0"/>
          <w:sz w:val="28"/>
          <w:szCs w:val="28"/>
          <w:lang w:val="ru-RU" w:eastAsia="ru-RU" w:bidi="ar-SA"/>
        </w:rPr>
        <w:t>частной охранной организации</w:t>
      </w: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 xml:space="preserve"> оказывал охранных услуги, не имея правового статуса частного охранника (подтверждено отсутствием удостоверения частного охранника);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 xml:space="preserve">2 факта - нарушение требований ч.7 ст. 12 Закона РФ от 11 марта 1992 г. № 2487-1 «О частной детективной и охранной деятельности в Российской Федерации», подпункта «Г» пункта 3 Положения о лицензировании частной охранной деятельности, утвержденного Постановлением Правительства РФ от 23.06.2011 № 498 «О некоторых вопросах осуществления частной детективной (сыскной) и частной охранной деятельности» - работник </w:t>
      </w:r>
      <w:r>
        <w:rPr>
          <w:rFonts w:eastAsia="Times New Roman" w:cs="Times New Roman" w:ascii="PT Astra Serif" w:hAnsi="PT Astra Serif"/>
          <w:color w:val="auto"/>
          <w:kern w:val="0"/>
          <w:sz w:val="28"/>
          <w:szCs w:val="28"/>
          <w:lang w:val="ru-RU" w:eastAsia="ru-RU" w:bidi="ar-SA"/>
        </w:rPr>
        <w:t>частной охранной организации</w:t>
      </w: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 xml:space="preserve"> оказывал охранные услуги без личной карточки охранника, выданной федеральным органом исполнительной власти, уполномоченным в сфере частной охранной деятельности в установленном порядке;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2 факта - нарушение требований ч.7 ст. 15.1 Закона РФ от 11 марта 1992 г. № 2487-1 "О частной детективной и охранной деятельности в Российской Федерации» - в частной охранной организации отсутствует руководитель организации, который должен иметь высшее образование и получить дополнительное профессиональное образование по программе повышения квалификации руководителей частных охранных организаций. Обязательным требованием является наличие у руководителя частной охранной организации удостоверения частного охранника;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2 факта — нарушение подпункта «а» пункта 5 и пункта 9 Положения о лицензировании частной охранной деятельности, утвержденного постановлением Правительства Российской Федерации от 23.06.2011 № 498 «О некоторых вопросах осуществления частной детективной (сыскной) и частной охранной деятельности» - при осуществлении охраны объектов, а также при обеспечении внутриобъектового и пропускного режимов на объектах, в отношении которых установлены обязательные для выполнения требования к антитеррористической защищенности у юридического лица отсутствовало служебное огнестрельное оружие;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 xml:space="preserve">1 факт - нарушение требований ч.8 ст. 12 Закона РФ от 11 марта 1992 г. № 2487-1 «О частной детективной и охранной деятельности в Российской Федерации», подпункта «В» пункта 2 Правил ношения специальной форменной одежды при оказании различных видов охранных услуг утвержденных приложением №10 к постановлению Правительства РФ от 14.08.1992 № 587  «Вопросы частной детективной (сыскной) и частной охранной деятельности», подпункта «Г» пункта 3 Положения о лицензировании частной охранной деятельности, утвержденного постановлением Правительства РФ от 23.06.2011 № 498 «О некоторых вопросах осуществления частной детективной (сыскной) и частной охранной деятельности» - работник </w:t>
      </w:r>
      <w:r>
        <w:rPr>
          <w:rFonts w:eastAsia="Times New Roman" w:cs="Times New Roman" w:ascii="PT Astra Serif" w:hAnsi="PT Astra Serif"/>
          <w:color w:val="auto"/>
          <w:kern w:val="0"/>
          <w:sz w:val="28"/>
          <w:szCs w:val="28"/>
          <w:lang w:val="ru-RU" w:eastAsia="ru-RU" w:bidi="ar-SA"/>
        </w:rPr>
        <w:t>частной охранной организации</w:t>
      </w: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 xml:space="preserve"> оказывал охранные услуги в специальной форменной одежде, без личной карточки охранника;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1 факт - нарушение требований ч. 3 ст. 16 Закона РФ от 11 марта 1992 г. № 2487-1 «О частной детективной и охранной деятельности в Российской Федерации» - работником частной охранной организации не пройдена периодическая проверка на пригодность к действиям в условиях, связанных с применением огнестрельного оружия и (или) специальных средств;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1 факт - нарушение требований ч.4 ст. 15.1 Закона РФ от 11 марта 1992 г. № 2487-1 «О частной детективной и охранной деятельности в Российской Федерации», подпункта Б пункта 3 Положения о лицензировании частной охранной деятельности, утверждённым постановлением Правительства Российской Федерации от 23 июня 2011 г. № 498 «О некоторых вопросах осуществления частной детективной и (сыскной) и частной охранной деятельности» - учредитель юридического лица является индивидуальным предпринимателем и учредителем других юридических лиц, основной вид деятельности которых не охранный;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  <w:sz w:val="28"/>
          <w:szCs w:val="28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 xml:space="preserve">1 факт - нарушение требований </w:t>
      </w:r>
      <w:r>
        <w:rPr>
          <w:rFonts w:ascii="PT Astra Serif" w:hAnsi="PT Astra Serif"/>
          <w:sz w:val="28"/>
          <w:szCs w:val="28"/>
        </w:rPr>
        <w:t>ч. 8 ст. 15.1 Закона РФ от 11 марта 1992 г. № 2487-1 «О частной детективной и охранной деятельности в Российской Федерации»,  подпункта В пункта 3 Положения о лицензировании частной охранной деятельности, утверждённого постановлением Правительства Российской Федерации от 23 июня 2011 г. № 498 «О некоторых вопросах осуществления частной детективной и (сыскной) и частной охранной деятельности» - руководитель  юридического лица имеет трудовые отношения в качестве руководителя (работника) другого юридического лица. Руководитель частной охранной организации не вправе вступать в трудовые отношения в качестве работника;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  <w:sz w:val="28"/>
          <w:szCs w:val="28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1 факт - нарушение правил оборота оружия, предусмотренных ч. 1 ст. 12 ФЗ от 13 декабря 1996 г. «Об оружии» - при осуществлении охранных услуг, предусмотренных ч.3 ст. 3 Закона РФ от 11.03.1992 №2487-1 «О частной детективной и охранной деятельности в Российской Федерации», что повлекло нарушение требований</w:t>
      </w:r>
      <w:r>
        <w:rPr>
          <w:rFonts w:ascii="PT Astra Serif" w:hAnsi="PT Astra Serif"/>
          <w:sz w:val="28"/>
          <w:szCs w:val="28"/>
        </w:rPr>
        <w:t xml:space="preserve"> подпункта «б» пункта 10 Положения о лицензировании частной охранной деятельности, утвержденного постановлением Правительства РФ от 23.06.2011 № 498 «О некоторых вопросах осуществления частной детективной (сыскной) и частной охранной деятельности».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  <w:sz w:val="28"/>
          <w:szCs w:val="28"/>
        </w:rPr>
      </w:pPr>
      <w:r>
        <w:rPr/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b/>
          <w:sz w:val="28"/>
          <w:szCs w:val="28"/>
          <w:lang w:eastAsia="ru-RU"/>
        </w:rPr>
        <w:t>Меры, которые следует предпринять частным охранным организациям, в целях недопущения совершения нарушений законодательства, регламентирующего оказание охранных услуг</w:t>
      </w: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: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изучить действующее законодательство, в том числе изменения, внесенные в нормативные правовые акты, регламентирующие оказание частной охранной деятельности;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усилить контроль со стороны руководителей организаций, за исполнением должностных обязанностей их работниками;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взять на контроль: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сроки прохождения работниками охранной организации медицинских комиссий (ежегодно). Медицинские заключения передать в подразделения ЛРР;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ведение и заполнение документации по учету и хранению специальных средств;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сроки окончания удостоверений частного охранника и иной документации, для своевременного получения, продления и внесения изменений в разрешительные документы;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 xml:space="preserve">сроки предоставления уведомлений о начале и об окончании оказания охранных услуг в соответствии с </w:t>
      </w:r>
      <w:r>
        <w:rPr>
          <w:rFonts w:cs="Times New Roman" w:ascii="PT Astra Serif" w:hAnsi="PT Astra Serif"/>
          <w:sz w:val="28"/>
          <w:szCs w:val="28"/>
        </w:rPr>
        <w:t>правилами уведомления частной охранной организацией органов внутренних дел о начале и об окончании оказания охранных услуг, изменении состава учредителей (участников), утвержденных постановлением Правительства Российской Федерации от 23.06.2011 № 498 «О некоторых вопросах осуществления частной детективной (сыскной) и частной охранной деятельности»;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сроки прохождения работниками охранной организации периодической проверки на пригодность к действиям и условиям, связанным  с применением огнестрельного оружия и (или) специальных средств;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провести анализ договоров с клиентами на оказание охранных услуг: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 xml:space="preserve">на предмет наличия и соответствия установленным требованиям документов, подтверждающих право владения и пользования имуществом; 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на предмет наличия в договорах, в виде вооруженной, физической охраны имущества, информации о видах, типах, моделях и количестве оружия, которое используется при осуществлении таких услуг;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провести сверки приложений к страховкам на случай гибели, получения увечья или иного повреждения здоровья в связи с оказанием ими охранных услуг с фактическим наличием работников охранного предприятия;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обратиться с заявлением в органы внутренних дел по месту регистрации охранной организации для проведения согласования раскраски, информационных надписей и знаков на транспортных средствах;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проверять информацию о статусе юридических лиц в онлайн - сервисе сведений о государственной регистрации юридических лиц, индивидуальных предпринимателей, размещенных на сайте ФНС России.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 </w:t>
      </w:r>
      <w:bookmarkStart w:id="0" w:name="_GoBack"/>
      <w:bookmarkEnd w:id="0"/>
    </w:p>
    <w:p>
      <w:pPr>
        <w:pStyle w:val="Normal"/>
        <w:spacing w:lineRule="auto" w:line="240" w:before="0" w:after="0"/>
        <w:jc w:val="both"/>
        <w:rPr>
          <w:rFonts w:ascii="PT Astra Serif" w:hAnsi="PT Astra Serif"/>
        </w:rPr>
      </w:pPr>
      <w:r>
        <w:rPr>
          <w:rFonts w:eastAsia="Times New Roman" w:cs="Times New Roman" w:ascii="PT Astra Serif" w:hAnsi="PT Astra Serif"/>
          <w:sz w:val="28"/>
          <w:szCs w:val="28"/>
          <w:lang w:eastAsia="ru-RU"/>
        </w:rPr>
        <w:t>ЦЛРР Управления Росгвардии по Республике Хакасия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Arial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360"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f50e7e"/>
    <w:rPr>
      <w:rFonts w:ascii="Tahoma" w:hAnsi="Tahoma" w:cs="Tahoma"/>
      <w:sz w:val="16"/>
      <w:szCs w:val="16"/>
    </w:rPr>
  </w:style>
  <w:style w:type="character" w:styleId="Style15">
    <w:name w:val="Интернет-ссылка"/>
    <w:qFormat/>
    <w:rPr>
      <w:color w:val="000080"/>
      <w:u w:val="single"/>
      <w:lang w:val="zxx" w:eastAsia="zxx" w:bidi="zxx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BalloonText">
    <w:name w:val="Balloon Text"/>
    <w:basedOn w:val="Normal"/>
    <w:uiPriority w:val="99"/>
    <w:semiHidden/>
    <w:unhideWhenUsed/>
    <w:qFormat/>
    <w:rsid w:val="00f50e7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onsPlusNormal" w:customStyle="1">
    <w:name w:val="ConsPlusNormal"/>
    <w:qFormat/>
    <w:rsid w:val="00ff0b53"/>
    <w:pPr>
      <w:widowControl w:val="false"/>
      <w:suppressAutoHyphens w:val="true"/>
      <w:bidi w:val="0"/>
      <w:spacing w:lineRule="auto" w:line="240" w:before="0" w:after="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ar-SA"/>
    </w:rPr>
  </w:style>
  <w:style w:type="paragraph" w:styleId="ListParagraph">
    <w:name w:val="List Paragraph"/>
    <w:basedOn w:val="Normal"/>
    <w:uiPriority w:val="34"/>
    <w:qFormat/>
    <w:rsid w:val="0086696a"/>
    <w:pPr>
      <w:spacing w:before="0" w:after="200"/>
      <w:ind w:left="720" w:hanging="0"/>
      <w:contextualSpacing/>
    </w:pPr>
    <w:rPr/>
  </w:style>
  <w:style w:type="numbering" w:styleId="Style21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B55D11-ADF2-432F-9423-94CEA5E7C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Application>LibreOffice/6.4.7.2$Linux_X86_64 LibreOffice_project/40$Build-2</Application>
  <Pages>5</Pages>
  <Words>1350</Words>
  <Characters>9665</Characters>
  <CharactersWithSpaces>10988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2018-12-18T09:41:00Z</dcterms:created>
  <dc:creator>Бондарь Игорь Валерьевич</dc:creator>
  <dc:description/>
  <dc:language>ru-RU</dc:language>
  <cp:lastModifiedBy/>
  <cp:lastPrinted>2023-02-02T14:31:59Z</cp:lastPrinted>
  <dcterms:modified xsi:type="dcterms:W3CDTF">2026-01-13T16:00:52Z</dcterms:modified>
  <cp:revision>108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